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43C4B" w14:textId="77777777" w:rsidR="009E28D7"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Background:</w:t>
      </w:r>
    </w:p>
    <w:p w14:paraId="4839C7D0"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Student-Run Free Clinics (SRFCs) are unique in their dual mission to expose students to direct patient care while providing no-cost services to patients. While individual clinic characteristics are frequently studied, no national analyses of SRFC locations in relation to designated markers of medical need exist. This study was created to determine whether SRFCs in the United States are geographically located in areas of medical need, as defined by Health Professional Shortage Areas (HPSAs), Medically Underserved Areas (MUAs), and county-level uninsured rates.</w:t>
      </w:r>
    </w:p>
    <w:p w14:paraId="6BB343BC" w14:textId="77777777" w:rsidR="009E28D7" w:rsidRDefault="009E28D7">
      <w:pPr>
        <w:spacing w:line="480" w:lineRule="auto"/>
        <w:rPr>
          <w:rFonts w:ascii="Times New Roman" w:eastAsia="Times New Roman" w:hAnsi="Times New Roman" w:cs="Times New Roman"/>
          <w:b/>
          <w:bCs/>
          <w:sz w:val="24"/>
          <w:szCs w:val="24"/>
        </w:rPr>
      </w:pPr>
    </w:p>
    <w:p w14:paraId="573A86F2" w14:textId="77777777" w:rsidR="009E28D7"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Methods:</w:t>
      </w:r>
    </w:p>
    <w:p w14:paraId="7B57D14B"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cross-sectional analysis of public datasets was used to gather data on 194 verified SRFCs from the Society of Student-Run Free Clinics’ master list. Clinic addresses were used to classify clinic primary care HPSA (pcHPSA) and MUA status from the Health Resources and Services Administration database. County-level population and uninsured rates were obtained from the United States Census Bureau. Statistical analyses included descriptive analyses, correlation testing, and regression modeling including logit-transformed analyses to compare collected uninsured data to national rates. </w:t>
      </w:r>
    </w:p>
    <w:p w14:paraId="73053336" w14:textId="77777777" w:rsidR="009E28D7" w:rsidRDefault="009E28D7">
      <w:pPr>
        <w:spacing w:line="480" w:lineRule="auto"/>
        <w:rPr>
          <w:rFonts w:ascii="Times New Roman" w:eastAsia="Times New Roman" w:hAnsi="Times New Roman" w:cs="Times New Roman"/>
          <w:b/>
          <w:bCs/>
          <w:sz w:val="24"/>
          <w:szCs w:val="24"/>
        </w:rPr>
      </w:pPr>
    </w:p>
    <w:p w14:paraId="298AA052" w14:textId="77777777" w:rsidR="009E28D7"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Results:</w:t>
      </w:r>
    </w:p>
    <w:p w14:paraId="46352D73"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194 clinics were located in 89 distinct urban counties. Contrary to our hypothesis, the majority (79%) were located in either a pcHPSA or MUA, with 65.5% in pcHPSAs and 58.8% in MUAs. Less than half (44.8%) of clinics were located in areas with both designations. Counties with SRFCs had an average population of 1,098,577, and the relationship between population </w:t>
      </w:r>
      <w:r>
        <w:rPr>
          <w:rFonts w:ascii="Times New Roman" w:eastAsia="Times New Roman" w:hAnsi="Times New Roman" w:cs="Times New Roman"/>
          <w:sz w:val="24"/>
          <w:szCs w:val="24"/>
        </w:rPr>
        <w:lastRenderedPageBreak/>
        <w:t xml:space="preserve">size and uninsured rate was nonsignificant (r = 0.108, p = 0.31). The uninsured rate of counties with SRFCs was significantly lower than the national average (z = -1.98, p = 0.047). </w:t>
      </w:r>
    </w:p>
    <w:p w14:paraId="011D6F72" w14:textId="77777777" w:rsidR="009E28D7" w:rsidRDefault="009E28D7">
      <w:pPr>
        <w:spacing w:line="480" w:lineRule="auto"/>
        <w:rPr>
          <w:rFonts w:ascii="Times New Roman" w:eastAsia="Times New Roman" w:hAnsi="Times New Roman" w:cs="Times New Roman"/>
          <w:sz w:val="24"/>
          <w:szCs w:val="24"/>
        </w:rPr>
      </w:pPr>
    </w:p>
    <w:p w14:paraId="614913A5" w14:textId="77777777" w:rsidR="009E28D7"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Conclusion: </w:t>
      </w:r>
    </w:p>
    <w:p w14:paraId="4B8399BA"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SRFCs are frequently found in designated areas of need. Geographic clustering was observed, which may be due to proximity to health professional schools. Our results may inform strategic placement of future clinics. </w:t>
      </w:r>
    </w:p>
    <w:p w14:paraId="12AD5262" w14:textId="77777777" w:rsidR="009E28D7" w:rsidRDefault="009E28D7">
      <w:pPr>
        <w:spacing w:line="480" w:lineRule="auto"/>
        <w:rPr>
          <w:rFonts w:ascii="Times New Roman" w:eastAsia="Times New Roman" w:hAnsi="Times New Roman" w:cs="Times New Roman"/>
          <w:b/>
          <w:bCs/>
          <w:sz w:val="24"/>
          <w:szCs w:val="24"/>
        </w:rPr>
      </w:pPr>
    </w:p>
    <w:p w14:paraId="1E3E3CF7" w14:textId="77777777" w:rsidR="009E28D7" w:rsidRDefault="009E28D7">
      <w:pPr>
        <w:spacing w:line="480" w:lineRule="auto"/>
        <w:rPr>
          <w:rFonts w:ascii="Times New Roman" w:eastAsia="Times New Roman" w:hAnsi="Times New Roman" w:cs="Times New Roman"/>
          <w:b/>
          <w:bCs/>
          <w:sz w:val="24"/>
          <w:szCs w:val="24"/>
        </w:rPr>
      </w:pPr>
    </w:p>
    <w:p w14:paraId="54B58E85" w14:textId="77777777" w:rsidR="009E28D7" w:rsidRDefault="009E28D7">
      <w:pPr>
        <w:spacing w:line="480" w:lineRule="auto"/>
        <w:rPr>
          <w:rFonts w:ascii="Times New Roman" w:eastAsia="Times New Roman" w:hAnsi="Times New Roman" w:cs="Times New Roman"/>
          <w:b/>
          <w:bCs/>
          <w:sz w:val="24"/>
          <w:szCs w:val="24"/>
        </w:rPr>
      </w:pPr>
    </w:p>
    <w:p w14:paraId="54296666" w14:textId="77777777" w:rsidR="009E28D7" w:rsidRDefault="009E28D7">
      <w:pPr>
        <w:spacing w:line="480" w:lineRule="auto"/>
        <w:rPr>
          <w:rFonts w:ascii="Times New Roman" w:eastAsia="Times New Roman" w:hAnsi="Times New Roman" w:cs="Times New Roman"/>
          <w:b/>
          <w:bCs/>
          <w:sz w:val="24"/>
          <w:szCs w:val="24"/>
        </w:rPr>
      </w:pPr>
    </w:p>
    <w:p w14:paraId="534A27FA" w14:textId="77777777" w:rsidR="009E28D7" w:rsidRDefault="009E28D7">
      <w:pPr>
        <w:spacing w:line="480" w:lineRule="auto"/>
        <w:rPr>
          <w:rFonts w:ascii="Times New Roman" w:eastAsia="Times New Roman" w:hAnsi="Times New Roman" w:cs="Times New Roman"/>
          <w:b/>
          <w:bCs/>
          <w:sz w:val="24"/>
          <w:szCs w:val="24"/>
        </w:rPr>
      </w:pPr>
    </w:p>
    <w:p w14:paraId="5EEC8240" w14:textId="77777777" w:rsidR="009E28D7" w:rsidRDefault="009E28D7">
      <w:pPr>
        <w:spacing w:line="480" w:lineRule="auto"/>
        <w:rPr>
          <w:rFonts w:ascii="Times New Roman" w:eastAsia="Times New Roman" w:hAnsi="Times New Roman" w:cs="Times New Roman"/>
          <w:b/>
          <w:bCs/>
          <w:sz w:val="24"/>
          <w:szCs w:val="24"/>
        </w:rPr>
      </w:pPr>
    </w:p>
    <w:p w14:paraId="324DC8B0" w14:textId="77777777" w:rsidR="009E28D7" w:rsidRDefault="009E28D7">
      <w:pPr>
        <w:spacing w:line="480" w:lineRule="auto"/>
        <w:rPr>
          <w:rFonts w:ascii="Times New Roman" w:eastAsia="Times New Roman" w:hAnsi="Times New Roman" w:cs="Times New Roman"/>
          <w:b/>
          <w:bCs/>
          <w:sz w:val="24"/>
          <w:szCs w:val="24"/>
        </w:rPr>
      </w:pPr>
    </w:p>
    <w:p w14:paraId="6D18CFF1" w14:textId="77777777" w:rsidR="009E28D7" w:rsidRDefault="009E28D7">
      <w:pPr>
        <w:spacing w:line="480" w:lineRule="auto"/>
        <w:rPr>
          <w:rFonts w:ascii="Times New Roman" w:eastAsia="Times New Roman" w:hAnsi="Times New Roman" w:cs="Times New Roman"/>
          <w:b/>
          <w:bCs/>
          <w:sz w:val="24"/>
          <w:szCs w:val="24"/>
        </w:rPr>
      </w:pPr>
    </w:p>
    <w:p w14:paraId="6BEE3FBE" w14:textId="77777777" w:rsidR="009E28D7" w:rsidRDefault="009E28D7">
      <w:pPr>
        <w:spacing w:line="480" w:lineRule="auto"/>
        <w:rPr>
          <w:rFonts w:ascii="Times New Roman" w:eastAsia="Times New Roman" w:hAnsi="Times New Roman" w:cs="Times New Roman"/>
          <w:b/>
          <w:bCs/>
          <w:sz w:val="24"/>
          <w:szCs w:val="24"/>
        </w:rPr>
      </w:pPr>
    </w:p>
    <w:p w14:paraId="2E104B25" w14:textId="77777777" w:rsidR="009E28D7" w:rsidRDefault="009E28D7">
      <w:pPr>
        <w:spacing w:line="480" w:lineRule="auto"/>
        <w:rPr>
          <w:rFonts w:ascii="Times New Roman" w:eastAsia="Times New Roman" w:hAnsi="Times New Roman" w:cs="Times New Roman"/>
          <w:b/>
          <w:bCs/>
          <w:sz w:val="24"/>
          <w:szCs w:val="24"/>
        </w:rPr>
      </w:pPr>
    </w:p>
    <w:p w14:paraId="421F8C4E" w14:textId="77777777" w:rsidR="009E28D7" w:rsidRDefault="009E28D7">
      <w:pPr>
        <w:spacing w:line="480" w:lineRule="auto"/>
        <w:rPr>
          <w:rFonts w:ascii="Times New Roman" w:eastAsia="Times New Roman" w:hAnsi="Times New Roman" w:cs="Times New Roman"/>
          <w:b/>
          <w:bCs/>
          <w:sz w:val="24"/>
          <w:szCs w:val="24"/>
        </w:rPr>
      </w:pPr>
    </w:p>
    <w:p w14:paraId="4F565936" w14:textId="77777777" w:rsidR="009E28D7" w:rsidRDefault="009E28D7">
      <w:pPr>
        <w:spacing w:line="480" w:lineRule="auto"/>
        <w:rPr>
          <w:rFonts w:ascii="Times New Roman" w:eastAsia="Times New Roman" w:hAnsi="Times New Roman" w:cs="Times New Roman"/>
          <w:b/>
          <w:bCs/>
          <w:sz w:val="24"/>
          <w:szCs w:val="24"/>
        </w:rPr>
      </w:pPr>
    </w:p>
    <w:p w14:paraId="3EA95465" w14:textId="77777777" w:rsidR="009E28D7" w:rsidRDefault="009E28D7">
      <w:pPr>
        <w:spacing w:line="480" w:lineRule="auto"/>
        <w:rPr>
          <w:rFonts w:ascii="Times New Roman" w:eastAsia="Times New Roman" w:hAnsi="Times New Roman" w:cs="Times New Roman"/>
          <w:b/>
          <w:bCs/>
          <w:sz w:val="24"/>
          <w:szCs w:val="24"/>
        </w:rPr>
      </w:pPr>
    </w:p>
    <w:p w14:paraId="01177020" w14:textId="77777777" w:rsidR="009E28D7" w:rsidRDefault="009E28D7">
      <w:pPr>
        <w:spacing w:line="480" w:lineRule="auto"/>
        <w:rPr>
          <w:rFonts w:ascii="Times New Roman" w:eastAsia="Times New Roman" w:hAnsi="Times New Roman" w:cs="Times New Roman"/>
          <w:b/>
          <w:bCs/>
          <w:sz w:val="24"/>
          <w:szCs w:val="24"/>
        </w:rPr>
      </w:pPr>
    </w:p>
    <w:p w14:paraId="7B352F66" w14:textId="77777777" w:rsidR="009E28D7" w:rsidRDefault="009E28D7">
      <w:pPr>
        <w:spacing w:line="480" w:lineRule="auto"/>
        <w:rPr>
          <w:rFonts w:ascii="Times New Roman" w:eastAsia="Times New Roman" w:hAnsi="Times New Roman" w:cs="Times New Roman"/>
          <w:b/>
          <w:bCs/>
          <w:sz w:val="24"/>
          <w:szCs w:val="24"/>
        </w:rPr>
      </w:pPr>
    </w:p>
    <w:p w14:paraId="4268499A" w14:textId="77777777" w:rsidR="009E28D7" w:rsidRDefault="009E28D7">
      <w:pPr>
        <w:spacing w:line="480" w:lineRule="auto"/>
        <w:rPr>
          <w:rFonts w:ascii="Times New Roman" w:eastAsia="Times New Roman" w:hAnsi="Times New Roman" w:cs="Times New Roman"/>
          <w:b/>
          <w:bCs/>
          <w:sz w:val="24"/>
          <w:szCs w:val="24"/>
        </w:rPr>
      </w:pPr>
    </w:p>
    <w:p w14:paraId="35DC6D64" w14:textId="77777777" w:rsidR="009E28D7"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Introduction:</w:t>
      </w:r>
    </w:p>
    <w:p w14:paraId="645D6400" w14:textId="77777777" w:rsidR="009E28D7" w:rsidRDefault="00000000">
      <w:pPr>
        <w:spacing w:line="48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Student-Run Free Clinics (SRFCs) are unique in their dual mission to expose students to direct patient care while providing no-cost services to patients.</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 xml:space="preserve"> They bridge the gap between the classroom and real-world patient care while maintaining efficacy comparable to primary care physicians.</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These clinics operate as safety nets, caring for many individuals who otherwise would struggle to receive medical care.</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These patient populations experience a disproportionate impact from social barriers such as unemployment and lack of health insurance and English proficiency, factors that have been shown to contribute to worse health outcomes.</w:t>
      </w:r>
      <w:r>
        <w:rPr>
          <w:rFonts w:ascii="Times New Roman" w:eastAsia="Times New Roman" w:hAnsi="Times New Roman" w:cs="Times New Roman"/>
          <w:sz w:val="24"/>
          <w:szCs w:val="24"/>
          <w:vertAlign w:val="superscript"/>
        </w:rPr>
        <w:t xml:space="preserve">2, 6-9 </w:t>
      </w:r>
    </w:p>
    <w:p w14:paraId="6DD2498F" w14:textId="77777777" w:rsidR="009E28D7" w:rsidRDefault="009E28D7">
      <w:pPr>
        <w:spacing w:line="480" w:lineRule="auto"/>
        <w:rPr>
          <w:rFonts w:ascii="Times New Roman" w:eastAsia="Times New Roman" w:hAnsi="Times New Roman" w:cs="Times New Roman"/>
          <w:sz w:val="24"/>
          <w:szCs w:val="24"/>
        </w:rPr>
      </w:pPr>
    </w:p>
    <w:p w14:paraId="375CF2ED"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Broader, structural factors further complicate the decreased access to care these populations face at the individual level, including health provider shortages. Health Professional Shortage Areas (HPSAs) and Medically Underserved Areas (MUAs) are areas where the proportion of physicians to the population is insufficient.</w:t>
      </w:r>
      <w:r>
        <w:rPr>
          <w:rFonts w:ascii="Times New Roman" w:eastAsia="Times New Roman" w:hAnsi="Times New Roman" w:cs="Times New Roman"/>
          <w:sz w:val="24"/>
          <w:szCs w:val="24"/>
          <w:vertAlign w:val="superscript"/>
        </w:rPr>
        <w:t>1,10</w:t>
      </w:r>
    </w:p>
    <w:p w14:paraId="03E0513B" w14:textId="77777777" w:rsidR="009E28D7" w:rsidRDefault="009E28D7">
      <w:pPr>
        <w:spacing w:line="480" w:lineRule="auto"/>
        <w:rPr>
          <w:rFonts w:ascii="Times New Roman" w:eastAsia="Times New Roman" w:hAnsi="Times New Roman" w:cs="Times New Roman"/>
          <w:sz w:val="24"/>
          <w:szCs w:val="24"/>
          <w:highlight w:val="yellow"/>
        </w:rPr>
      </w:pPr>
    </w:p>
    <w:p w14:paraId="4F9903D3"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Health Resources and Services Administration (HRSA), an agency under The United States Department of Health and Human Services, designates areas as HPSAs or MUAs.</w:t>
      </w: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 xml:space="preserve"> HPSA designation is subdivided into primary care HPSA (pcHPSA), dental HPSA (dHPSA), and mental health HPSA (mhHPSA). Designation is based on population-to-provider ratio.</w:t>
      </w:r>
      <w:r>
        <w:rPr>
          <w:rFonts w:ascii="Times New Roman" w:eastAsia="Times New Roman" w:hAnsi="Times New Roman" w:cs="Times New Roman"/>
          <w:sz w:val="24"/>
          <w:szCs w:val="24"/>
          <w:vertAlign w:val="superscript"/>
        </w:rPr>
        <w:t xml:space="preserve">12-13 </w:t>
      </w:r>
      <w:r>
        <w:rPr>
          <w:rFonts w:ascii="Times New Roman" w:eastAsia="Times New Roman" w:hAnsi="Times New Roman" w:cs="Times New Roman"/>
          <w:sz w:val="24"/>
          <w:szCs w:val="24"/>
        </w:rPr>
        <w:t>The pcHPSA score also considers poverty rate, infant health index, and travel time to the nearest source of care.</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 xml:space="preserve"> MUAs are designated based on physician-to-population ratio, infant mortality rate, percentage of population with income below the poverty level, and percentage of population age 65 or over.</w:t>
      </w:r>
      <w:r>
        <w:rPr>
          <w:rFonts w:ascii="Times New Roman" w:eastAsia="Times New Roman" w:hAnsi="Times New Roman" w:cs="Times New Roman"/>
          <w:sz w:val="24"/>
          <w:szCs w:val="24"/>
          <w:vertAlign w:val="superscript"/>
        </w:rPr>
        <w:t xml:space="preserve">12-13 </w:t>
      </w:r>
      <w:r>
        <w:rPr>
          <w:rFonts w:ascii="Times New Roman" w:eastAsia="Times New Roman" w:hAnsi="Times New Roman" w:cs="Times New Roman"/>
          <w:sz w:val="24"/>
          <w:szCs w:val="24"/>
        </w:rPr>
        <w:t xml:space="preserve"> Both designations are used by federal programs to identify areas to allocate </w:t>
      </w:r>
      <w:r>
        <w:rPr>
          <w:rFonts w:ascii="Times New Roman" w:eastAsia="Times New Roman" w:hAnsi="Times New Roman" w:cs="Times New Roman"/>
          <w:sz w:val="24"/>
          <w:szCs w:val="24"/>
        </w:rPr>
        <w:lastRenderedPageBreak/>
        <w:t>federal aid and assistance.</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 xml:space="preserve"> Recent data from the HRSA estimates that 93 million Americans are living in HPSAs and 19 million are living in MUAs.</w:t>
      </w:r>
      <w:r>
        <w:rPr>
          <w:rFonts w:ascii="Times New Roman" w:eastAsia="Times New Roman" w:hAnsi="Times New Roman" w:cs="Times New Roman"/>
          <w:sz w:val="24"/>
          <w:szCs w:val="24"/>
          <w:vertAlign w:val="superscript"/>
        </w:rPr>
        <w:t xml:space="preserve">14 </w:t>
      </w:r>
      <w:r>
        <w:rPr>
          <w:rFonts w:ascii="Times New Roman" w:eastAsia="Times New Roman" w:hAnsi="Times New Roman" w:cs="Times New Roman"/>
          <w:sz w:val="24"/>
          <w:szCs w:val="24"/>
        </w:rPr>
        <w:t xml:space="preserve"> </w:t>
      </w:r>
    </w:p>
    <w:p w14:paraId="3C3482C1" w14:textId="77777777" w:rsidR="009E28D7" w:rsidRDefault="009E28D7">
      <w:pPr>
        <w:spacing w:line="480" w:lineRule="auto"/>
        <w:rPr>
          <w:rFonts w:ascii="Times New Roman" w:eastAsia="Times New Roman" w:hAnsi="Times New Roman" w:cs="Times New Roman"/>
          <w:sz w:val="24"/>
          <w:szCs w:val="24"/>
          <w:shd w:val="clear" w:color="auto" w:fill="D9D2E9"/>
        </w:rPr>
      </w:pPr>
    </w:p>
    <w:p w14:paraId="4588FC6E"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HPSAs, MUAs, and counties with higher uninsured rates are more likely to have poor health outcomes due in part to insufficient access to healthcare.</w:t>
      </w:r>
      <w:r>
        <w:rPr>
          <w:rFonts w:ascii="Times New Roman" w:eastAsia="Times New Roman" w:hAnsi="Times New Roman" w:cs="Times New Roman"/>
          <w:sz w:val="24"/>
          <w:szCs w:val="24"/>
          <w:vertAlign w:val="superscript"/>
        </w:rPr>
        <w:t>15-19</w:t>
      </w:r>
      <w:r>
        <w:rPr>
          <w:rFonts w:ascii="Times New Roman" w:eastAsia="Times New Roman" w:hAnsi="Times New Roman" w:cs="Times New Roman"/>
          <w:sz w:val="24"/>
          <w:szCs w:val="24"/>
        </w:rPr>
        <w:t xml:space="preserve"> As such, access to care, especially when it is free, can be exceedingly valuable and impactful.</w:t>
      </w:r>
      <w:r>
        <w:rPr>
          <w:rFonts w:ascii="Times New Roman" w:eastAsia="Times New Roman" w:hAnsi="Times New Roman" w:cs="Times New Roman"/>
          <w:sz w:val="24"/>
          <w:szCs w:val="24"/>
          <w:vertAlign w:val="superscript"/>
        </w:rPr>
        <w:t>20</w:t>
      </w:r>
      <w:r>
        <w:rPr>
          <w:rFonts w:ascii="Times New Roman" w:eastAsia="Times New Roman" w:hAnsi="Times New Roman" w:cs="Times New Roman"/>
          <w:sz w:val="24"/>
          <w:szCs w:val="24"/>
        </w:rPr>
        <w:t xml:space="preserve"> SRFCs, if appropriately located, can mitigate many of the challenges these populations face as they navigate their health. Nationally, SRFCs have been reported to serve at least 140,000 patients a year, a number that likely has grown due to growing popularity of these clinics.</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Therefore, if appropriately positioned, these clinics have the potential to profoundly impact access to care for individuals who have insufficient access on both an individual and systemic level.</w:t>
      </w:r>
    </w:p>
    <w:p w14:paraId="3348EB64" w14:textId="77777777" w:rsidR="009E28D7" w:rsidRDefault="009E28D7">
      <w:pPr>
        <w:spacing w:line="480" w:lineRule="auto"/>
        <w:rPr>
          <w:rFonts w:ascii="Times New Roman" w:eastAsia="Times New Roman" w:hAnsi="Times New Roman" w:cs="Times New Roman"/>
          <w:sz w:val="24"/>
          <w:szCs w:val="24"/>
        </w:rPr>
      </w:pPr>
    </w:p>
    <w:p w14:paraId="0F7B3698"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aspects of SRFCs have yet to be characterized in the literature. Existing research often focuses on individual clinic characteristics. This study provides a national analysis of SRFCs in the United States. By comparing clinic locations to HPSAs, MUAs, and county uninsured rates, we aimed to compare SRFC locations to objective markers of need. We hypothesized that SRFCs would be located in urban areas near health professional schools and would, therefore, be less likely to be found in areas of designated need. </w:t>
      </w:r>
    </w:p>
    <w:p w14:paraId="04EA21D7" w14:textId="77777777" w:rsidR="009E28D7" w:rsidRDefault="009E28D7">
      <w:pPr>
        <w:spacing w:line="480" w:lineRule="auto"/>
        <w:rPr>
          <w:rFonts w:ascii="Times New Roman" w:eastAsia="Times New Roman" w:hAnsi="Times New Roman" w:cs="Times New Roman"/>
          <w:b/>
          <w:bCs/>
          <w:sz w:val="24"/>
          <w:szCs w:val="24"/>
        </w:rPr>
      </w:pPr>
    </w:p>
    <w:p w14:paraId="2520E68F"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Methods: </w:t>
      </w:r>
    </w:p>
    <w:p w14:paraId="7A39D14A"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cross-sectional analysis of publicly available online datasets was used to gather data for this project. The study is qualified for IRB exemption under 45 CFR 46.104(d)(4).</w:t>
      </w:r>
      <w:r>
        <w:rPr>
          <w:rFonts w:ascii="Times New Roman" w:eastAsia="Times New Roman" w:hAnsi="Times New Roman" w:cs="Times New Roman"/>
          <w:sz w:val="24"/>
          <w:szCs w:val="24"/>
          <w:vertAlign w:val="superscript"/>
        </w:rPr>
        <w:t>21</w:t>
      </w:r>
      <w:r>
        <w:rPr>
          <w:rFonts w:ascii="Times New Roman" w:eastAsia="Times New Roman" w:hAnsi="Times New Roman" w:cs="Times New Roman"/>
          <w:sz w:val="24"/>
          <w:szCs w:val="24"/>
        </w:rPr>
        <w:t xml:space="preserve"> </w:t>
      </w:r>
    </w:p>
    <w:p w14:paraId="171EFFD1" w14:textId="77777777" w:rsidR="009E28D7" w:rsidRDefault="009E28D7">
      <w:pPr>
        <w:spacing w:line="480" w:lineRule="auto"/>
        <w:rPr>
          <w:rFonts w:ascii="Times New Roman" w:eastAsia="Times New Roman" w:hAnsi="Times New Roman" w:cs="Times New Roman"/>
          <w:sz w:val="24"/>
          <w:szCs w:val="24"/>
        </w:rPr>
      </w:pPr>
    </w:p>
    <w:p w14:paraId="1B48B90A"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 minimize selection bias, clinics used in the study were identified from the master list available on the Society of Student-Run Free Clinics (SSRFC) website homepage, a leading organization within the SRFC community, which claims to verify each clinic’s listed information.</w:t>
      </w:r>
      <w:r>
        <w:rPr>
          <w:rFonts w:ascii="Times New Roman" w:eastAsia="Times New Roman" w:hAnsi="Times New Roman" w:cs="Times New Roman"/>
          <w:sz w:val="24"/>
          <w:szCs w:val="24"/>
          <w:vertAlign w:val="superscript"/>
        </w:rPr>
        <w:t xml:space="preserve">22 </w:t>
      </w:r>
      <w:r>
        <w:rPr>
          <w:rFonts w:ascii="Times New Roman" w:eastAsia="Times New Roman" w:hAnsi="Times New Roman" w:cs="Times New Roman"/>
          <w:sz w:val="24"/>
          <w:szCs w:val="24"/>
        </w:rPr>
        <w:t xml:space="preserve">A total of 214 clinics were available on the master list on December 3, 2025 when the study population was defined. Clinics were included in this study if they were located in the United States and provided specialty and/or primary medical care from physicians or advanced practice providers and their respective students. To verify inclusion criteria and minimize information bias, each clinic’s website was reviewed. When multiple clinics operated out of the same address, each clinic was recorded as a separate data point. Twenty verified clinics from SSRFC did not meet the inclusion criteria for our study and were excluded. </w:t>
      </w:r>
    </w:p>
    <w:p w14:paraId="4FEF6C61" w14:textId="77777777" w:rsidR="009E28D7" w:rsidRDefault="009E28D7">
      <w:pPr>
        <w:spacing w:line="480" w:lineRule="auto"/>
        <w:rPr>
          <w:rFonts w:ascii="Times New Roman" w:eastAsia="Times New Roman" w:hAnsi="Times New Roman" w:cs="Times New Roman"/>
          <w:sz w:val="24"/>
          <w:szCs w:val="24"/>
        </w:rPr>
      </w:pPr>
    </w:p>
    <w:p w14:paraId="2F1DA479"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outcomes were (1) whether a clinic was located in a pcHPSA, (2) whether a clinic was located in a MUA, and (3) the uninsured rate for the county with the SRFC. To further characterize the areas where SRFCs were located, county population and urban versus rural designation were recorded. </w:t>
      </w:r>
    </w:p>
    <w:p w14:paraId="1F3B8AA1" w14:textId="77777777" w:rsidR="009E28D7" w:rsidRDefault="009E28D7">
      <w:pPr>
        <w:spacing w:line="480" w:lineRule="auto"/>
        <w:rPr>
          <w:rFonts w:ascii="Times New Roman" w:eastAsia="Times New Roman" w:hAnsi="Times New Roman" w:cs="Times New Roman"/>
          <w:sz w:val="24"/>
          <w:szCs w:val="24"/>
        </w:rPr>
      </w:pPr>
    </w:p>
    <w:p w14:paraId="4A41FFB4"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were stored in REDCap for collection and analysis. To reduce information bias, the most recent data for each variable was gathered. The following data were collected for each data entry: clinic name and address, pcHPSA and MUA designation, clinic county, county population, county urban/rural designation, and county uninsured rate. Clinic names and addresses were used directly from the SSRFC master list and verified using the individual clinic’s website.</w:t>
      </w:r>
      <w:r>
        <w:rPr>
          <w:rFonts w:ascii="Times New Roman" w:eastAsia="Times New Roman" w:hAnsi="Times New Roman" w:cs="Times New Roman"/>
          <w:sz w:val="24"/>
          <w:szCs w:val="24"/>
          <w:vertAlign w:val="superscript"/>
        </w:rPr>
        <w:t>22</w:t>
      </w:r>
      <w:r>
        <w:rPr>
          <w:rFonts w:ascii="Times New Roman" w:eastAsia="Times New Roman" w:hAnsi="Times New Roman" w:cs="Times New Roman"/>
          <w:sz w:val="24"/>
          <w:szCs w:val="24"/>
        </w:rPr>
        <w:t xml:space="preserve"> All information gathered from the master list was in agreement with verified information from clinic websites. We determined pcHPSA and MUA designation by utilizing the most current data from </w:t>
      </w:r>
      <w:r>
        <w:rPr>
          <w:rFonts w:ascii="Times New Roman" w:eastAsia="Times New Roman" w:hAnsi="Times New Roman" w:cs="Times New Roman"/>
          <w:sz w:val="24"/>
          <w:szCs w:val="24"/>
        </w:rPr>
        <w:lastRenderedPageBreak/>
        <w:t>HRSA’s “Find Shortage Areas by Address” tool during the data collection period (December 2025–January 2026).</w:t>
      </w:r>
      <w:r>
        <w:rPr>
          <w:rFonts w:ascii="Times New Roman" w:eastAsia="Times New Roman" w:hAnsi="Times New Roman" w:cs="Times New Roman"/>
          <w:sz w:val="24"/>
          <w:szCs w:val="24"/>
          <w:vertAlign w:val="superscript"/>
        </w:rPr>
        <w:t>23</w:t>
      </w:r>
      <w:r>
        <w:rPr>
          <w:rFonts w:ascii="Times New Roman" w:eastAsia="Times New Roman" w:hAnsi="Times New Roman" w:cs="Times New Roman"/>
          <w:sz w:val="24"/>
          <w:szCs w:val="24"/>
        </w:rPr>
        <w:t xml:space="preserve"> We collected only the pcHPSA designation and did not include the dental and mental health HPSA data in this study as our inclusion criteria were best represented by pcHPSA, and we anticipated mhHPSA and dHPSA to account for professionals who were not physicians or advanced practice providers. We treated pcHPSA and MUA data as binary (Yes or No) and distinct for each designation. The county of each clinic was determined based on zip code using the United States Zip Code database.</w:t>
      </w:r>
      <w:r>
        <w:rPr>
          <w:rFonts w:ascii="Times New Roman" w:eastAsia="Times New Roman" w:hAnsi="Times New Roman" w:cs="Times New Roman"/>
          <w:sz w:val="24"/>
          <w:szCs w:val="24"/>
          <w:vertAlign w:val="superscript"/>
        </w:rPr>
        <w:t>24</w:t>
      </w:r>
      <w:r>
        <w:rPr>
          <w:rFonts w:ascii="Times New Roman" w:eastAsia="Times New Roman" w:hAnsi="Times New Roman" w:cs="Times New Roman"/>
          <w:sz w:val="24"/>
          <w:szCs w:val="24"/>
        </w:rPr>
        <w:t xml:space="preserve"> County names were then used to determine population and uninsured rates using data available from The United States Census Bureau (USCB).</w:t>
      </w:r>
      <w:r>
        <w:rPr>
          <w:rFonts w:ascii="Times New Roman" w:eastAsia="Times New Roman" w:hAnsi="Times New Roman" w:cs="Times New Roman"/>
          <w:sz w:val="24"/>
          <w:szCs w:val="24"/>
          <w:vertAlign w:val="superscript"/>
        </w:rPr>
        <w:t>25-26</w:t>
      </w:r>
      <w:r>
        <w:rPr>
          <w:rFonts w:ascii="Times New Roman" w:eastAsia="Times New Roman" w:hAnsi="Times New Roman" w:cs="Times New Roman"/>
          <w:sz w:val="24"/>
          <w:szCs w:val="24"/>
        </w:rPr>
        <w:t xml:space="preserve"> The county uninsured rates came from 2023 data that included all resident ages and was the most recent data at the time. Additionally, county population data came from the 2020 Decennial Census, the most current data at the time.</w:t>
      </w:r>
      <w:r>
        <w:rPr>
          <w:rFonts w:ascii="Times New Roman" w:eastAsia="Times New Roman" w:hAnsi="Times New Roman" w:cs="Times New Roman"/>
          <w:sz w:val="24"/>
          <w:szCs w:val="24"/>
          <w:vertAlign w:val="superscript"/>
        </w:rPr>
        <w:t>26</w:t>
      </w:r>
      <w:r>
        <w:rPr>
          <w:rFonts w:ascii="Times New Roman" w:eastAsia="Times New Roman" w:hAnsi="Times New Roman" w:cs="Times New Roman"/>
          <w:sz w:val="24"/>
          <w:szCs w:val="24"/>
        </w:rPr>
        <w:t xml:space="preserve"> Lastly, rural versus urban designation was recorded for each county based on definitions provided by the USCB.</w:t>
      </w:r>
      <w:r>
        <w:rPr>
          <w:rFonts w:ascii="Times New Roman" w:eastAsia="Times New Roman" w:hAnsi="Times New Roman" w:cs="Times New Roman"/>
          <w:sz w:val="24"/>
          <w:szCs w:val="24"/>
          <w:vertAlign w:val="superscript"/>
        </w:rPr>
        <w:t>27</w:t>
      </w:r>
      <w:r>
        <w:rPr>
          <w:rFonts w:ascii="Times New Roman" w:eastAsia="Times New Roman" w:hAnsi="Times New Roman" w:cs="Times New Roman"/>
          <w:sz w:val="24"/>
          <w:szCs w:val="24"/>
        </w:rPr>
        <w:t xml:space="preserve"> No missing data were encountered for any of the clinics. </w:t>
      </w:r>
    </w:p>
    <w:p w14:paraId="60FB8597" w14:textId="77777777" w:rsidR="009E28D7" w:rsidRDefault="009E28D7">
      <w:pPr>
        <w:spacing w:line="480" w:lineRule="auto"/>
        <w:rPr>
          <w:rFonts w:ascii="Times New Roman" w:eastAsia="Times New Roman" w:hAnsi="Times New Roman" w:cs="Times New Roman"/>
          <w:sz w:val="24"/>
          <w:szCs w:val="24"/>
        </w:rPr>
      </w:pPr>
    </w:p>
    <w:p w14:paraId="2C40CC98"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Descriptive analysis was performed for clinic and county variables. Categorical variables, such as pcHPSA and MUA status, were summarized using frequencies and percentages, and overlap between designations was assessed using cross-tabulations. Continuous variables, such as county population and uninsured rates, were summarized using means, standard deviations, medians, and ranges. To examine potential confounding between population size and uninsured rate, a Pearson correlation coefficient was calculated. To determine the distribution of the county uninsured rates, Shapiro-Wilk and Anderson-Darling tests were performed. Due to a large range of county populations, we also calculated weighted county uninsured averages. </w:t>
      </w:r>
    </w:p>
    <w:p w14:paraId="4CF5BBC9" w14:textId="77777777" w:rsidR="009E28D7" w:rsidRDefault="009E28D7">
      <w:pPr>
        <w:spacing w:line="480" w:lineRule="auto"/>
        <w:rPr>
          <w:rFonts w:ascii="Times New Roman" w:eastAsia="Times New Roman" w:hAnsi="Times New Roman" w:cs="Times New Roman"/>
          <w:sz w:val="24"/>
          <w:szCs w:val="24"/>
        </w:rPr>
      </w:pPr>
    </w:p>
    <w:p w14:paraId="0A31DC53"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Pearson and Spearman were estimated by PROC CORR to evaluate the relationship between county population size and uninsured rates. Population-weighted means and 95% confidence intervals were generated using PROC SURVEYMEANS. Then a weighted t-test was used to compare county rates against the national baseline of 9.46% from the same year (2023) and source.</w:t>
      </w:r>
      <w:r>
        <w:rPr>
          <w:rFonts w:ascii="Times New Roman" w:eastAsia="Times New Roman" w:hAnsi="Times New Roman" w:cs="Times New Roman"/>
          <w:sz w:val="24"/>
          <w:szCs w:val="24"/>
          <w:vertAlign w:val="superscript"/>
        </w:rPr>
        <w:t>25</w:t>
      </w:r>
      <w:r>
        <w:rPr>
          <w:rFonts w:ascii="Times New Roman" w:eastAsia="Times New Roman" w:hAnsi="Times New Roman" w:cs="Times New Roman"/>
          <w:sz w:val="24"/>
          <w:szCs w:val="24"/>
        </w:rPr>
        <w:t xml:space="preserve"> Because the outcome variable consisted of proportions, a Beta regression model with a logit link function was used using PROC GLIMMIX. The intercept was considered as a random effect in the frame of a generalized linear mixed model. The individual ID was used to account for potential data clustering. A one-sample z-test was conducted to compare differences between county-level logit estimates and the logit-transformed national rate. The results were then back-transformed to the probability scale for interpretation. PROC GENMOD was used to fit the Poisson regression model with a log-population offset. A deviance-based scale parameter was used to validate the findings while correcting for overdispersion. Statistical analyses were performed using SAS software (Cary, NC). In all inferential tests, statistical significance was defined as a two-sided p &lt; 0.05.</w:t>
      </w:r>
    </w:p>
    <w:p w14:paraId="35DE0883" w14:textId="77777777" w:rsidR="009E28D7" w:rsidRDefault="009E28D7">
      <w:pPr>
        <w:spacing w:line="480" w:lineRule="auto"/>
        <w:rPr>
          <w:rFonts w:ascii="Times New Roman" w:eastAsia="Times New Roman" w:hAnsi="Times New Roman" w:cs="Times New Roman"/>
          <w:sz w:val="24"/>
          <w:szCs w:val="24"/>
        </w:rPr>
      </w:pPr>
    </w:p>
    <w:p w14:paraId="21F95173" w14:textId="77777777" w:rsidR="009E28D7"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Results:</w:t>
      </w:r>
    </w:p>
    <w:p w14:paraId="74B663AB"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inclusion criteria, we analyzed data from 194 clinics across 89 distinct counties and no missing data were identified. All SRFC zip codes were associated with just one county. The majority of clinics (79%) were found to be in either a pcHPSA or MUA. Nearly two-thirds (n = 127, 65.5%) of clinics were located in pcHPSAs and more than half (n = 114, 58.8%) were located in MUAs. Eighty-seven clinics were located in both pcHPSA and MUA. However, the criteria did not always overlap, as 31.4% (n = 40) of clinics in a pcHPSA were not in an MUA, </w:t>
      </w:r>
      <w:r>
        <w:rPr>
          <w:rFonts w:ascii="Times New Roman" w:eastAsia="Times New Roman" w:hAnsi="Times New Roman" w:cs="Times New Roman"/>
          <w:sz w:val="24"/>
          <w:szCs w:val="24"/>
        </w:rPr>
        <w:lastRenderedPageBreak/>
        <w:t xml:space="preserve">and 23.7% (n = 27) of clinics in an MUA were not in a pcHPSA. See Table 1 for more information. </w:t>
      </w:r>
    </w:p>
    <w:p w14:paraId="141A8E7C" w14:textId="77777777" w:rsidR="009E28D7" w:rsidRDefault="009E28D7">
      <w:pPr>
        <w:spacing w:line="480" w:lineRule="auto"/>
        <w:rPr>
          <w:rFonts w:ascii="Times New Roman" w:eastAsia="Times New Roman" w:hAnsi="Times New Roman" w:cs="Times New Roman"/>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9E28D7" w14:paraId="71E8B4D0" w14:textId="77777777">
        <w:trPr>
          <w:trHeight w:val="400"/>
        </w:trPr>
        <w:tc>
          <w:tcPr>
            <w:tcW w:w="9360" w:type="dxa"/>
            <w:gridSpan w:val="3"/>
            <w:tcMar>
              <w:top w:w="100" w:type="dxa"/>
              <w:left w:w="100" w:type="dxa"/>
              <w:bottom w:w="100" w:type="dxa"/>
              <w:right w:w="100" w:type="dxa"/>
            </w:tcMar>
          </w:tcPr>
          <w:p w14:paraId="59D8EC29" w14:textId="77777777" w:rsidR="009E28D7"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1: Clinics Located in Health Professional Shortage Areas and Medically Underserved Areas</w:t>
            </w:r>
          </w:p>
        </w:tc>
      </w:tr>
      <w:tr w:rsidR="009E28D7" w14:paraId="7A9A59EB" w14:textId="77777777">
        <w:trPr>
          <w:trHeight w:val="400"/>
        </w:trPr>
        <w:tc>
          <w:tcPr>
            <w:tcW w:w="3120" w:type="dxa"/>
            <w:tcMar>
              <w:top w:w="100" w:type="dxa"/>
              <w:left w:w="100" w:type="dxa"/>
              <w:bottom w:w="100" w:type="dxa"/>
              <w:right w:w="100" w:type="dxa"/>
            </w:tcMar>
          </w:tcPr>
          <w:p w14:paraId="076D7A30" w14:textId="77777777" w:rsidR="009E28D7"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 = 194</w:t>
            </w:r>
          </w:p>
        </w:tc>
        <w:tc>
          <w:tcPr>
            <w:tcW w:w="3120" w:type="dxa"/>
            <w:tcMar>
              <w:top w:w="100" w:type="dxa"/>
              <w:left w:w="100" w:type="dxa"/>
              <w:bottom w:w="100" w:type="dxa"/>
              <w:right w:w="100" w:type="dxa"/>
            </w:tcMar>
          </w:tcPr>
          <w:p w14:paraId="0DF54933"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Yes </w:t>
            </w:r>
            <w:r>
              <w:rPr>
                <w:rFonts w:ascii="Times New Roman" w:eastAsia="Times New Roman" w:hAnsi="Times New Roman" w:cs="Times New Roman"/>
                <w:i/>
                <w:iCs/>
                <w:sz w:val="24"/>
                <w:szCs w:val="24"/>
              </w:rPr>
              <w:t>n</w:t>
            </w:r>
            <w:r>
              <w:rPr>
                <w:rFonts w:ascii="Times New Roman" w:eastAsia="Times New Roman" w:hAnsi="Times New Roman" w:cs="Times New Roman"/>
                <w:sz w:val="24"/>
                <w:szCs w:val="24"/>
              </w:rPr>
              <w:t xml:space="preserve"> (%)</w:t>
            </w:r>
          </w:p>
        </w:tc>
        <w:tc>
          <w:tcPr>
            <w:tcW w:w="3120" w:type="dxa"/>
            <w:tcMar>
              <w:top w:w="100" w:type="dxa"/>
              <w:left w:w="100" w:type="dxa"/>
              <w:bottom w:w="100" w:type="dxa"/>
              <w:right w:w="100" w:type="dxa"/>
            </w:tcMar>
          </w:tcPr>
          <w:p w14:paraId="1605E121"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w:t>
            </w:r>
            <w:r>
              <w:rPr>
                <w:rFonts w:ascii="Times New Roman" w:eastAsia="Times New Roman" w:hAnsi="Times New Roman" w:cs="Times New Roman"/>
                <w:i/>
                <w:iCs/>
                <w:sz w:val="24"/>
                <w:szCs w:val="24"/>
              </w:rPr>
              <w:t>n</w:t>
            </w:r>
            <w:r>
              <w:rPr>
                <w:rFonts w:ascii="Times New Roman" w:eastAsia="Times New Roman" w:hAnsi="Times New Roman" w:cs="Times New Roman"/>
                <w:sz w:val="24"/>
                <w:szCs w:val="24"/>
              </w:rPr>
              <w:t xml:space="preserve"> (%)</w:t>
            </w:r>
          </w:p>
        </w:tc>
      </w:tr>
      <w:tr w:rsidR="009E28D7" w14:paraId="14BCAACA" w14:textId="77777777">
        <w:tc>
          <w:tcPr>
            <w:tcW w:w="3120" w:type="dxa"/>
            <w:tcMar>
              <w:top w:w="100" w:type="dxa"/>
              <w:left w:w="100" w:type="dxa"/>
              <w:bottom w:w="100" w:type="dxa"/>
              <w:right w:w="100" w:type="dxa"/>
            </w:tcMar>
          </w:tcPr>
          <w:p w14:paraId="0E788FA6"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Care Health Professional Shortage Area Designation </w:t>
            </w:r>
          </w:p>
        </w:tc>
        <w:tc>
          <w:tcPr>
            <w:tcW w:w="3120" w:type="dxa"/>
            <w:tcMar>
              <w:top w:w="100" w:type="dxa"/>
              <w:left w:w="100" w:type="dxa"/>
              <w:bottom w:w="100" w:type="dxa"/>
              <w:right w:w="100" w:type="dxa"/>
            </w:tcMar>
          </w:tcPr>
          <w:p w14:paraId="422B8FC6"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127 (65.5%)</w:t>
            </w:r>
          </w:p>
        </w:tc>
        <w:tc>
          <w:tcPr>
            <w:tcW w:w="3120" w:type="dxa"/>
            <w:tcMar>
              <w:top w:w="100" w:type="dxa"/>
              <w:left w:w="100" w:type="dxa"/>
              <w:bottom w:w="100" w:type="dxa"/>
              <w:right w:w="100" w:type="dxa"/>
            </w:tcMar>
          </w:tcPr>
          <w:p w14:paraId="1C3768D0"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67 (34.5%) </w:t>
            </w:r>
          </w:p>
        </w:tc>
      </w:tr>
      <w:tr w:rsidR="009E28D7" w14:paraId="1737C451" w14:textId="77777777">
        <w:tc>
          <w:tcPr>
            <w:tcW w:w="3120" w:type="dxa"/>
            <w:tcMar>
              <w:top w:w="100" w:type="dxa"/>
              <w:left w:w="100" w:type="dxa"/>
              <w:bottom w:w="100" w:type="dxa"/>
              <w:right w:w="100" w:type="dxa"/>
            </w:tcMar>
          </w:tcPr>
          <w:p w14:paraId="24F0B5D7"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Medically Underserved Area Designation</w:t>
            </w:r>
          </w:p>
        </w:tc>
        <w:tc>
          <w:tcPr>
            <w:tcW w:w="3120" w:type="dxa"/>
            <w:tcMar>
              <w:top w:w="100" w:type="dxa"/>
              <w:left w:w="100" w:type="dxa"/>
              <w:bottom w:w="100" w:type="dxa"/>
              <w:right w:w="100" w:type="dxa"/>
            </w:tcMar>
          </w:tcPr>
          <w:p w14:paraId="417CC442"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114 (58.8%)</w:t>
            </w:r>
          </w:p>
        </w:tc>
        <w:tc>
          <w:tcPr>
            <w:tcW w:w="3120" w:type="dxa"/>
            <w:tcMar>
              <w:top w:w="100" w:type="dxa"/>
              <w:left w:w="100" w:type="dxa"/>
              <w:bottom w:w="100" w:type="dxa"/>
              <w:right w:w="100" w:type="dxa"/>
            </w:tcMar>
          </w:tcPr>
          <w:p w14:paraId="6A81F8EE"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 (41.2%)</w:t>
            </w:r>
          </w:p>
        </w:tc>
      </w:tr>
      <w:tr w:rsidR="009E28D7" w14:paraId="303F239B" w14:textId="77777777">
        <w:tc>
          <w:tcPr>
            <w:tcW w:w="3120" w:type="dxa"/>
            <w:tcMar>
              <w:top w:w="100" w:type="dxa"/>
              <w:left w:w="100" w:type="dxa"/>
              <w:bottom w:w="100" w:type="dxa"/>
              <w:right w:w="100" w:type="dxa"/>
            </w:tcMar>
          </w:tcPr>
          <w:p w14:paraId="51730295"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Dual Designation (Both Primary Care Health Professional Shortage Area and Medically Underserved Area)</w:t>
            </w:r>
          </w:p>
        </w:tc>
        <w:tc>
          <w:tcPr>
            <w:tcW w:w="3120" w:type="dxa"/>
            <w:tcMar>
              <w:top w:w="100" w:type="dxa"/>
              <w:left w:w="100" w:type="dxa"/>
              <w:bottom w:w="100" w:type="dxa"/>
              <w:right w:w="100" w:type="dxa"/>
            </w:tcMar>
          </w:tcPr>
          <w:p w14:paraId="4436FFF2"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87 (44.8%) </w:t>
            </w:r>
          </w:p>
        </w:tc>
        <w:tc>
          <w:tcPr>
            <w:tcW w:w="3120" w:type="dxa"/>
            <w:tcMar>
              <w:top w:w="100" w:type="dxa"/>
              <w:left w:w="100" w:type="dxa"/>
              <w:bottom w:w="100" w:type="dxa"/>
              <w:right w:w="100" w:type="dxa"/>
            </w:tcMar>
          </w:tcPr>
          <w:p w14:paraId="0D05BD62" w14:textId="77777777" w:rsidR="009E28D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107 (55.2%)</w:t>
            </w:r>
          </w:p>
        </w:tc>
      </w:tr>
    </w:tbl>
    <w:p w14:paraId="0145C455" w14:textId="77777777" w:rsidR="009E28D7" w:rsidRDefault="00000000">
      <w:pPr>
        <w:spacing w:before="240" w:after="240"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Among 194 clinics, most were located in Primary Care Professional Shortage Areas (65.5%) and Medically Underserved Areas (58.8%), with 44.8% having both designations. </w:t>
      </w:r>
    </w:p>
    <w:p w14:paraId="6C89AE3E" w14:textId="77777777" w:rsidR="009E28D7"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Out of 89 counties, none had a population fewer than 5,000 citizens and, as such, no counties met the USCB definition of a rural county.</w:t>
      </w:r>
      <w:r>
        <w:rPr>
          <w:rFonts w:ascii="Times New Roman" w:eastAsia="Times New Roman" w:hAnsi="Times New Roman" w:cs="Times New Roman"/>
          <w:sz w:val="24"/>
          <w:szCs w:val="24"/>
          <w:vertAlign w:val="superscript"/>
        </w:rPr>
        <w:t xml:space="preserve">27  </w:t>
      </w:r>
      <w:r>
        <w:rPr>
          <w:rFonts w:ascii="Times New Roman" w:eastAsia="Times New Roman" w:hAnsi="Times New Roman" w:cs="Times New Roman"/>
          <w:sz w:val="24"/>
          <w:szCs w:val="24"/>
        </w:rPr>
        <w:t xml:space="preserve">The counties were characterized by large, densely populated urban centers, with a mean population of 1,098,577 (SD = 1,395,734) and a median of 764,442 citizens (range: 42,357 – 10,014,009). </w:t>
      </w:r>
    </w:p>
    <w:p w14:paraId="78EE77A8" w14:textId="77777777" w:rsidR="009E28D7"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average uninsured rate for the 89 counties was 9.35% (SD = 4.47%) with a median of 8.5% (Range 3.6% – 27.5%). The distribution of uninsured rates was non-normal (Shapiro-Wilk W = 0.86, p &lt; 0.001; Anderson-Darling p &lt; 0.005), with positive skewness (1.71) and substantial variability (coefficient of variation = 47.8%). There was no statistically significant association </w:t>
      </w:r>
      <w:r>
        <w:rPr>
          <w:rFonts w:ascii="Times New Roman" w:eastAsia="Times New Roman" w:hAnsi="Times New Roman" w:cs="Times New Roman"/>
          <w:sz w:val="24"/>
          <w:szCs w:val="24"/>
        </w:rPr>
        <w:lastRenderedPageBreak/>
        <w:t xml:space="preserve">between county population size and uninsured rate (Pearson r = 0.108, p = 0.31). See Figure 1 for county uninsured rates with clinic locations. </w:t>
      </w:r>
    </w:p>
    <w:p w14:paraId="6F716C6D" w14:textId="77777777" w:rsidR="009E28D7"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BC773CE" wp14:editId="4DB25710">
            <wp:extent cx="4843463" cy="277101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843463" cy="2771019"/>
                    </a:xfrm>
                    <a:prstGeom prst="rect">
                      <a:avLst/>
                    </a:prstGeom>
                    <a:ln/>
                  </pic:spPr>
                </pic:pic>
              </a:graphicData>
            </a:graphic>
          </wp:inline>
        </w:drawing>
      </w:r>
    </w:p>
    <w:p w14:paraId="6D59904D" w14:textId="77777777" w:rsidR="009E28D7" w:rsidRDefault="00000000">
      <w:pPr>
        <w:spacing w:before="240" w:after="240" w:line="480" w:lineRule="auto"/>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Figure 1: Student-Run Free Clinic Locations in Relation to County Uninsured Rates and Primary Care Health Professional Shortage Areas and Medically Underserved Areas</w:t>
      </w:r>
      <w:r>
        <w:rPr>
          <w:rFonts w:ascii="Times New Roman" w:eastAsia="Times New Roman" w:hAnsi="Times New Roman" w:cs="Times New Roman"/>
          <w:i/>
          <w:iCs/>
          <w:sz w:val="24"/>
          <w:szCs w:val="24"/>
        </w:rPr>
        <w:t xml:space="preserve">. County uninsured rates are shown using a color gradient, with warmer colors indicated higher uninsured rates. Clinic locations are represented by red and green circles. Red circles indicate clinics located in either a Primary Care Health Professional Shortage Area or Medically Underserved Area. Green circles indicate clinics located in neither designation. </w:t>
      </w:r>
    </w:p>
    <w:p w14:paraId="2001B9CF" w14:textId="77777777" w:rsidR="009E28D7"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account for variation in county size, we performed population-weighted analyses and regression modeling. The weighted mean uninsured rate rose to 9.96% (95% CI: 8.86% – 11.05%). A one-sample t-test comparing county uninsured rates to the national average of 9.46% did not demonstrate a statistically significant difference on the untransformed scale (p &gt; 0.05). </w:t>
      </w:r>
    </w:p>
    <w:p w14:paraId="7D41F9F6" w14:textId="77777777" w:rsidR="009E28D7" w:rsidRDefault="009E28D7">
      <w:pPr>
        <w:spacing w:before="240" w:after="240" w:line="480" w:lineRule="auto"/>
        <w:rPr>
          <w:rFonts w:ascii="Times New Roman" w:eastAsia="Times New Roman" w:hAnsi="Times New Roman" w:cs="Times New Roman"/>
          <w:sz w:val="24"/>
          <w:szCs w:val="24"/>
        </w:rPr>
      </w:pPr>
    </w:p>
    <w:p w14:paraId="671F424F" w14:textId="77777777" w:rsidR="009E28D7"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To appropriately model proportional outcomes, a beta regression with a logit link was performed. The intercept was statistically significant (estimate = -2.37, SE = 0.05, p &lt; 0.001), indicating that the logit-transformed uninsured rate differed significantly from zero on the modeled scale. </w:t>
      </w:r>
    </w:p>
    <w:p w14:paraId="353FB8C7" w14:textId="77777777" w:rsidR="009E28D7"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one-sample z-test comparing the logit-transformed county uninsured rate to the logit-transformed national rate demonstrated a statistically significant difference. We found that the county-level logit (-2.36) was lower than the national logit (-2.26) and corresponded to a significant difference (z = -1.98, p = 0.048), suggesting that counties with SRFCs are associated with lower uninsured rates compared to the national average.</w:t>
      </w:r>
    </w:p>
    <w:p w14:paraId="68A0693B" w14:textId="77777777" w:rsidR="009E28D7" w:rsidRDefault="00000000">
      <w:pPr>
        <w:spacing w:before="240" w:after="240" w:line="48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A Poisson regression model with a log-population offset was also fitted. The deviance-to-degrees-of-freedom ratio (10.97) indicated substantial overdispersion, supporting the use of alternative modeling approaches such as the logit-transformed analyses we utilized. </w:t>
      </w:r>
    </w:p>
    <w:p w14:paraId="6CF1EC73" w14:textId="77777777" w:rsidR="009E28D7"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Discussion: </w:t>
      </w:r>
    </w:p>
    <w:p w14:paraId="1808E6D3"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sought to characterize SRFC locations nationally and relate locations to areas of designated medical need. All SRFCs analyzed in this study were located in urban counties, areas that traditionally have more health resources. However, they were still found to be in designated regions of high medical need.</w:t>
      </w:r>
      <w:r>
        <w:rPr>
          <w:rFonts w:ascii="Times New Roman" w:eastAsia="Times New Roman" w:hAnsi="Times New Roman" w:cs="Times New Roman"/>
          <w:sz w:val="24"/>
          <w:szCs w:val="24"/>
          <w:vertAlign w:val="superscript"/>
        </w:rPr>
        <w:t>28</w:t>
      </w:r>
      <w:r>
        <w:rPr>
          <w:rFonts w:ascii="Times New Roman" w:eastAsia="Times New Roman" w:hAnsi="Times New Roman" w:cs="Times New Roman"/>
          <w:sz w:val="24"/>
          <w:szCs w:val="24"/>
        </w:rPr>
        <w:t xml:space="preserve"> Fewer than half of the SRFCs (44.8%) were located in both a pcHPSA and a MUA. We found that clinics were more likely to be located in a pcHPSA than a MUA, which supports existing literature (see Table 1).</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 xml:space="preserve"> Over three-quarters of the clinics were found to be in either a pcHPSA or MUA. These findings suggest that SRFCs are frequently located in areas of designated need. </w:t>
      </w:r>
    </w:p>
    <w:p w14:paraId="288BE779" w14:textId="77777777" w:rsidR="009E28D7" w:rsidRDefault="009E28D7">
      <w:pPr>
        <w:spacing w:line="480" w:lineRule="auto"/>
        <w:rPr>
          <w:rFonts w:ascii="Times New Roman" w:eastAsia="Times New Roman" w:hAnsi="Times New Roman" w:cs="Times New Roman"/>
          <w:sz w:val="24"/>
          <w:szCs w:val="24"/>
        </w:rPr>
      </w:pPr>
    </w:p>
    <w:p w14:paraId="1A3BD6FD"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Our analysis of county uninsured rates suggested that counties with SRFCs have significantly lower uninsured rates than national averages. This aligns with existing literature that suggests that urban areas have lower overall uninsured populations.</w:t>
      </w:r>
      <w:r>
        <w:rPr>
          <w:rFonts w:ascii="Times New Roman" w:eastAsia="Times New Roman" w:hAnsi="Times New Roman" w:cs="Times New Roman"/>
          <w:sz w:val="24"/>
          <w:szCs w:val="24"/>
          <w:vertAlign w:val="superscript"/>
        </w:rPr>
        <w:t>29</w:t>
      </w:r>
      <w:r>
        <w:rPr>
          <w:rFonts w:ascii="Times New Roman" w:eastAsia="Times New Roman" w:hAnsi="Times New Roman" w:cs="Times New Roman"/>
          <w:sz w:val="24"/>
          <w:szCs w:val="24"/>
        </w:rPr>
        <w:t xml:space="preserve"> On the other hand, the high degree of relative variability and the wide range of county uninsured rates highlight extreme geographic disparities. While our results showed SRFCs are in counties with lower uninsured rates, they still are in pcHPSAs and MUAs 79% of the time, suggesting that pockets of need and provider shortages may persist even in counties that are typically considered to have more resources. </w:t>
      </w:r>
    </w:p>
    <w:p w14:paraId="04B36D13" w14:textId="77777777" w:rsidR="009E28D7" w:rsidRDefault="009E28D7">
      <w:pPr>
        <w:spacing w:line="480" w:lineRule="auto"/>
        <w:rPr>
          <w:rFonts w:ascii="Times New Roman" w:eastAsia="Times New Roman" w:hAnsi="Times New Roman" w:cs="Times New Roman"/>
          <w:sz w:val="24"/>
          <w:szCs w:val="24"/>
        </w:rPr>
      </w:pPr>
    </w:p>
    <w:p w14:paraId="726C181D"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necessity of logit-transformation for advanced modeling was a direct result of the wide range of uninsured rates in our data. This overdispersion reflects substantial variability in our health system. Some SRFCs are in counties with better insurance rates, while others are in areas where nearly a third of the population lacks insurance. Furthermore, the results of our Pearson correlation coefficient indicated a non-significant relationship between county population and its uninsured rate, which may suggest that population and urban vs. rural designation should not be the sole criteria for clinic placement. </w:t>
      </w:r>
    </w:p>
    <w:p w14:paraId="37E602CD" w14:textId="77777777" w:rsidR="009E28D7" w:rsidRDefault="009E28D7">
      <w:pPr>
        <w:spacing w:line="480" w:lineRule="auto"/>
        <w:rPr>
          <w:rFonts w:ascii="Times New Roman" w:eastAsia="Times New Roman" w:hAnsi="Times New Roman" w:cs="Times New Roman"/>
          <w:sz w:val="24"/>
          <w:szCs w:val="24"/>
        </w:rPr>
      </w:pPr>
    </w:p>
    <w:p w14:paraId="0E064C77"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194 SRFCs exist, they are concentrated in only 89 counties, suggesting that free care in this setting may be concentrated in geographic areas and absent in many others. This finding may be explained by SRFCs affiliation with healthcare schools who provide volunteer students, advanced practice providers, and physicians. Clinics may be founded in geographically favorable areas for volunteer recruitment, a claim not formally assessed in this study, but one that should be addressed in future research. However, some medical schools, such as Pennsylvania State University, are working to address geographical challenges by offering free mobile clinics that </w:t>
      </w:r>
      <w:r>
        <w:rPr>
          <w:rFonts w:ascii="Times New Roman" w:eastAsia="Times New Roman" w:hAnsi="Times New Roman" w:cs="Times New Roman"/>
          <w:sz w:val="24"/>
          <w:szCs w:val="24"/>
        </w:rPr>
        <w:lastRenderedPageBreak/>
        <w:t>can travel to rural populations to provide care.</w:t>
      </w:r>
      <w:r>
        <w:rPr>
          <w:rFonts w:ascii="Times New Roman" w:eastAsia="Times New Roman" w:hAnsi="Times New Roman" w:cs="Times New Roman"/>
          <w:sz w:val="24"/>
          <w:szCs w:val="24"/>
          <w:vertAlign w:val="superscript"/>
        </w:rPr>
        <w:t>30</w:t>
      </w:r>
      <w:r>
        <w:rPr>
          <w:rFonts w:ascii="Times New Roman" w:eastAsia="Times New Roman" w:hAnsi="Times New Roman" w:cs="Times New Roman"/>
          <w:sz w:val="24"/>
          <w:szCs w:val="24"/>
        </w:rPr>
        <w:t xml:space="preserve"> SRFCs may consider creative solutions, such as free mobile clinics, which would provide healthcare to additional underserved populations and expose volunteers to a new group of healthcare communities and challenges. </w:t>
      </w:r>
    </w:p>
    <w:p w14:paraId="22B02A7A" w14:textId="77777777" w:rsidR="009E28D7" w:rsidRDefault="009E28D7">
      <w:pPr>
        <w:spacing w:line="480" w:lineRule="auto"/>
        <w:rPr>
          <w:rFonts w:ascii="Times New Roman" w:eastAsia="Times New Roman" w:hAnsi="Times New Roman" w:cs="Times New Roman"/>
          <w:sz w:val="24"/>
          <w:szCs w:val="24"/>
        </w:rPr>
      </w:pPr>
    </w:p>
    <w:p w14:paraId="5B5A5B77"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is strengthened by its national assessment of SRFCs, something not well-characterized in the literature. Limitations of this study include its vulnerability to selection bias, as the study population was limited to verified clinics listed with the SSRFCs. However, the magnitude of this bias may be minimal as the SSRFC is a leading organization within the SRFC community who actively gathers information on operating SRFCs. An additional limitation may be the use of the listed official address of the SRFC to collect data. Although uncommon, some SRFC are mobile clinics that could operate outside of the area associated with their address. Furthermore, because all clinics in our sample were located in urban counties, our findings may not be generalizable to rural areas. Additionally, we recognize the existence of a variety of socioeconomic statuses within a county population and that county averages may introduce a degree of imprecision due to ecological fallacy. Counties that are not designated as specifically underserved based on pcHPSA, MUA, or uninsured rates may still have a large population who struggles to receive care. In fact, SRFCs have been shown to serve a much higher percentage of uninsured patients compared to county averages.</w:t>
      </w:r>
      <w:r>
        <w:rPr>
          <w:rFonts w:ascii="Times New Roman" w:eastAsia="Times New Roman" w:hAnsi="Times New Roman" w:cs="Times New Roman"/>
          <w:sz w:val="24"/>
          <w:szCs w:val="24"/>
          <w:vertAlign w:val="superscript"/>
        </w:rPr>
        <w:t>31</w:t>
      </w:r>
      <w:r>
        <w:rPr>
          <w:rFonts w:ascii="Times New Roman" w:eastAsia="Times New Roman" w:hAnsi="Times New Roman" w:cs="Times New Roman"/>
          <w:sz w:val="24"/>
          <w:szCs w:val="24"/>
        </w:rPr>
        <w:t xml:space="preserve"> As such, we acknowledge that SRFCs may be an important part of the medical safety net regardless of their location, although we believe that using the designations we have outlined may inform particular areas of need. </w:t>
      </w:r>
    </w:p>
    <w:p w14:paraId="3473D992" w14:textId="77777777" w:rsidR="009E28D7" w:rsidRDefault="009E28D7">
      <w:pPr>
        <w:spacing w:line="480" w:lineRule="auto"/>
        <w:rPr>
          <w:rFonts w:ascii="Times New Roman" w:eastAsia="Times New Roman" w:hAnsi="Times New Roman" w:cs="Times New Roman"/>
          <w:sz w:val="24"/>
          <w:szCs w:val="24"/>
        </w:rPr>
      </w:pPr>
    </w:p>
    <w:p w14:paraId="5B6E7ABF" w14:textId="77777777" w:rsidR="009E28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Ultimately, our results suggest that many SRFCs are located in areas with designated markers of need. We believe the national assessment we have provided may benefit future SRFC outreach </w:t>
      </w:r>
      <w:r>
        <w:rPr>
          <w:rFonts w:ascii="Times New Roman" w:eastAsia="Times New Roman" w:hAnsi="Times New Roman" w:cs="Times New Roman"/>
          <w:sz w:val="24"/>
          <w:szCs w:val="24"/>
        </w:rPr>
        <w:lastRenderedPageBreak/>
        <w:t xml:space="preserve">efforts and inform strategic placement of resources. Future work should continue exploring creative solutions to expand SRFC geographic outreach, while maintaining volunteer enthusiasm and availability. By combining medical students’ passion of serving the underserved with data-driven clinic placement, we believe SRFCs can continue to address the persistent inequities in our country’s healthcare system. </w:t>
      </w:r>
    </w:p>
    <w:p w14:paraId="3867E0E1" w14:textId="77777777" w:rsidR="009E28D7" w:rsidRDefault="009E28D7">
      <w:pPr>
        <w:spacing w:line="480" w:lineRule="auto"/>
        <w:rPr>
          <w:rFonts w:ascii="Times New Roman" w:eastAsia="Times New Roman" w:hAnsi="Times New Roman" w:cs="Times New Roman"/>
          <w:b/>
          <w:bCs/>
          <w:sz w:val="24"/>
          <w:szCs w:val="24"/>
        </w:rPr>
      </w:pPr>
    </w:p>
    <w:p w14:paraId="042AFC5F" w14:textId="77777777" w:rsidR="009E28D7" w:rsidRDefault="009E28D7">
      <w:pPr>
        <w:spacing w:line="480" w:lineRule="auto"/>
        <w:rPr>
          <w:rFonts w:ascii="Times New Roman" w:eastAsia="Times New Roman" w:hAnsi="Times New Roman" w:cs="Times New Roman"/>
          <w:b/>
          <w:bCs/>
          <w:sz w:val="24"/>
          <w:szCs w:val="24"/>
        </w:rPr>
      </w:pPr>
    </w:p>
    <w:p w14:paraId="002079D2" w14:textId="77777777" w:rsidR="009E28D7" w:rsidRDefault="009E28D7">
      <w:pPr>
        <w:spacing w:line="480" w:lineRule="auto"/>
        <w:rPr>
          <w:rFonts w:ascii="Times New Roman" w:eastAsia="Times New Roman" w:hAnsi="Times New Roman" w:cs="Times New Roman"/>
          <w:b/>
          <w:bCs/>
          <w:sz w:val="24"/>
          <w:szCs w:val="24"/>
        </w:rPr>
      </w:pPr>
    </w:p>
    <w:p w14:paraId="78EE0E54" w14:textId="77777777" w:rsidR="009E28D7" w:rsidRDefault="009E28D7">
      <w:pPr>
        <w:spacing w:line="480" w:lineRule="auto"/>
        <w:rPr>
          <w:rFonts w:ascii="Times New Roman" w:eastAsia="Times New Roman" w:hAnsi="Times New Roman" w:cs="Times New Roman"/>
          <w:b/>
          <w:bCs/>
          <w:sz w:val="24"/>
          <w:szCs w:val="24"/>
        </w:rPr>
      </w:pPr>
    </w:p>
    <w:p w14:paraId="5FA8B0B0" w14:textId="77777777" w:rsidR="009E28D7" w:rsidRDefault="009E28D7">
      <w:pPr>
        <w:spacing w:line="480" w:lineRule="auto"/>
        <w:rPr>
          <w:rFonts w:ascii="Times New Roman" w:eastAsia="Times New Roman" w:hAnsi="Times New Roman" w:cs="Times New Roman"/>
          <w:b/>
          <w:bCs/>
          <w:sz w:val="24"/>
          <w:szCs w:val="24"/>
        </w:rPr>
      </w:pPr>
    </w:p>
    <w:p w14:paraId="658F480C" w14:textId="77777777" w:rsidR="009E28D7" w:rsidRDefault="009E28D7">
      <w:pPr>
        <w:spacing w:line="480" w:lineRule="auto"/>
        <w:rPr>
          <w:rFonts w:ascii="Times New Roman" w:eastAsia="Times New Roman" w:hAnsi="Times New Roman" w:cs="Times New Roman"/>
          <w:b/>
          <w:bCs/>
          <w:sz w:val="24"/>
          <w:szCs w:val="24"/>
        </w:rPr>
      </w:pPr>
    </w:p>
    <w:p w14:paraId="44CBD4B8" w14:textId="77777777" w:rsidR="009E28D7" w:rsidRDefault="009E28D7">
      <w:pPr>
        <w:spacing w:line="480" w:lineRule="auto"/>
        <w:rPr>
          <w:rFonts w:ascii="Times New Roman" w:eastAsia="Times New Roman" w:hAnsi="Times New Roman" w:cs="Times New Roman"/>
          <w:b/>
          <w:bCs/>
          <w:sz w:val="24"/>
          <w:szCs w:val="24"/>
        </w:rPr>
      </w:pPr>
    </w:p>
    <w:p w14:paraId="5AAC60F2" w14:textId="77777777" w:rsidR="009E28D7" w:rsidRDefault="009E28D7">
      <w:pPr>
        <w:spacing w:line="480" w:lineRule="auto"/>
        <w:rPr>
          <w:rFonts w:ascii="Times New Roman" w:eastAsia="Times New Roman" w:hAnsi="Times New Roman" w:cs="Times New Roman"/>
          <w:b/>
          <w:bCs/>
          <w:sz w:val="24"/>
          <w:szCs w:val="24"/>
        </w:rPr>
      </w:pPr>
    </w:p>
    <w:p w14:paraId="22101668" w14:textId="77777777" w:rsidR="009E28D7" w:rsidRDefault="009E28D7">
      <w:pPr>
        <w:spacing w:line="480" w:lineRule="auto"/>
        <w:rPr>
          <w:rFonts w:ascii="Times New Roman" w:eastAsia="Times New Roman" w:hAnsi="Times New Roman" w:cs="Times New Roman"/>
          <w:b/>
          <w:bCs/>
          <w:sz w:val="24"/>
          <w:szCs w:val="24"/>
        </w:rPr>
      </w:pPr>
    </w:p>
    <w:p w14:paraId="5E385C3C" w14:textId="77777777" w:rsidR="009E28D7" w:rsidRDefault="009E28D7">
      <w:pPr>
        <w:spacing w:line="480" w:lineRule="auto"/>
        <w:rPr>
          <w:rFonts w:ascii="Times New Roman" w:eastAsia="Times New Roman" w:hAnsi="Times New Roman" w:cs="Times New Roman"/>
          <w:b/>
          <w:bCs/>
          <w:sz w:val="24"/>
          <w:szCs w:val="24"/>
        </w:rPr>
      </w:pPr>
    </w:p>
    <w:p w14:paraId="33375C70" w14:textId="77777777" w:rsidR="009E28D7" w:rsidRDefault="009E28D7">
      <w:pPr>
        <w:spacing w:line="480" w:lineRule="auto"/>
        <w:rPr>
          <w:rFonts w:ascii="Times New Roman" w:eastAsia="Times New Roman" w:hAnsi="Times New Roman" w:cs="Times New Roman"/>
          <w:b/>
          <w:bCs/>
          <w:sz w:val="24"/>
          <w:szCs w:val="24"/>
        </w:rPr>
      </w:pPr>
    </w:p>
    <w:p w14:paraId="6DE20B14" w14:textId="77777777" w:rsidR="009E28D7" w:rsidRDefault="009E28D7">
      <w:pPr>
        <w:spacing w:line="480" w:lineRule="auto"/>
        <w:rPr>
          <w:rFonts w:ascii="Times New Roman" w:eastAsia="Times New Roman" w:hAnsi="Times New Roman" w:cs="Times New Roman"/>
          <w:b/>
          <w:bCs/>
          <w:sz w:val="24"/>
          <w:szCs w:val="24"/>
        </w:rPr>
      </w:pPr>
    </w:p>
    <w:p w14:paraId="13CFE8AB" w14:textId="77777777" w:rsidR="009E28D7" w:rsidRDefault="009E28D7">
      <w:pPr>
        <w:spacing w:line="480" w:lineRule="auto"/>
        <w:rPr>
          <w:rFonts w:ascii="Times New Roman" w:eastAsia="Times New Roman" w:hAnsi="Times New Roman" w:cs="Times New Roman"/>
          <w:b/>
          <w:bCs/>
          <w:sz w:val="24"/>
          <w:szCs w:val="24"/>
        </w:rPr>
      </w:pPr>
    </w:p>
    <w:p w14:paraId="2A1D98E7" w14:textId="77777777" w:rsidR="009E28D7" w:rsidRDefault="009E28D7">
      <w:pPr>
        <w:spacing w:line="480" w:lineRule="auto"/>
        <w:rPr>
          <w:rFonts w:ascii="Times New Roman" w:eastAsia="Times New Roman" w:hAnsi="Times New Roman" w:cs="Times New Roman"/>
          <w:b/>
          <w:bCs/>
          <w:sz w:val="24"/>
          <w:szCs w:val="24"/>
        </w:rPr>
      </w:pPr>
    </w:p>
    <w:p w14:paraId="4C7F92E9" w14:textId="77777777" w:rsidR="009E28D7" w:rsidRDefault="009E28D7">
      <w:pPr>
        <w:spacing w:line="480" w:lineRule="auto"/>
        <w:rPr>
          <w:rFonts w:ascii="Times New Roman" w:eastAsia="Times New Roman" w:hAnsi="Times New Roman" w:cs="Times New Roman"/>
          <w:b/>
          <w:bCs/>
          <w:sz w:val="24"/>
          <w:szCs w:val="24"/>
        </w:rPr>
      </w:pPr>
    </w:p>
    <w:p w14:paraId="5533C8F0" w14:textId="77777777" w:rsidR="009E28D7" w:rsidRDefault="009E28D7">
      <w:pPr>
        <w:spacing w:line="480" w:lineRule="auto"/>
        <w:rPr>
          <w:rFonts w:ascii="Times New Roman" w:eastAsia="Times New Roman" w:hAnsi="Times New Roman" w:cs="Times New Roman"/>
          <w:b/>
          <w:bCs/>
          <w:sz w:val="24"/>
          <w:szCs w:val="24"/>
        </w:rPr>
      </w:pPr>
    </w:p>
    <w:p w14:paraId="3EB0864A" w14:textId="77777777" w:rsidR="009E28D7" w:rsidRDefault="009E28D7">
      <w:pPr>
        <w:spacing w:line="480" w:lineRule="auto"/>
        <w:rPr>
          <w:rFonts w:ascii="Times New Roman" w:eastAsia="Times New Roman" w:hAnsi="Times New Roman" w:cs="Times New Roman"/>
          <w:b/>
          <w:bCs/>
          <w:sz w:val="24"/>
          <w:szCs w:val="24"/>
        </w:rPr>
      </w:pPr>
    </w:p>
    <w:p w14:paraId="151C9C54" w14:textId="77777777" w:rsidR="009E28D7" w:rsidRDefault="009E28D7">
      <w:pPr>
        <w:spacing w:line="480" w:lineRule="auto"/>
        <w:rPr>
          <w:rFonts w:ascii="Times New Roman" w:eastAsia="Times New Roman" w:hAnsi="Times New Roman" w:cs="Times New Roman"/>
          <w:b/>
          <w:bCs/>
          <w:sz w:val="24"/>
          <w:szCs w:val="24"/>
        </w:rPr>
      </w:pPr>
    </w:p>
    <w:p w14:paraId="05A5F505" w14:textId="77777777" w:rsidR="009E28D7"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References:</w:t>
      </w:r>
    </w:p>
    <w:p w14:paraId="4AB584A0" w14:textId="77777777" w:rsidR="009E28D7"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 xml:space="preserve">Smith S, Thomas R, Cruz M, Griggs R, Moscato B, Ferrara A. Presence and characteristics of student-run free clinics in medical schools. </w:t>
      </w:r>
      <w:r>
        <w:rPr>
          <w:rFonts w:ascii="Times New Roman" w:eastAsia="Times New Roman" w:hAnsi="Times New Roman" w:cs="Times New Roman"/>
          <w:i/>
          <w:iCs/>
          <w:color w:val="333333"/>
          <w:sz w:val="24"/>
          <w:szCs w:val="24"/>
          <w:highlight w:val="white"/>
        </w:rPr>
        <w:t>JAMA.</w:t>
      </w:r>
      <w:r>
        <w:rPr>
          <w:rFonts w:ascii="Times New Roman" w:eastAsia="Times New Roman" w:hAnsi="Times New Roman" w:cs="Times New Roman"/>
          <w:color w:val="333333"/>
          <w:sz w:val="24"/>
          <w:szCs w:val="24"/>
          <w:highlight w:val="white"/>
        </w:rPr>
        <w:t xml:space="preserve"> 2014;312(22):2407-2410. doi:10.1001/jama.2014.16066</w:t>
      </w:r>
    </w:p>
    <w:p w14:paraId="30ADD6BA" w14:textId="77777777" w:rsidR="009E28D7" w:rsidRDefault="00000000">
      <w:pPr>
        <w:numPr>
          <w:ilvl w:val="0"/>
          <w:numId w:val="1"/>
        </w:num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1B1B1B"/>
          <w:sz w:val="24"/>
          <w:szCs w:val="24"/>
          <w:highlight w:val="white"/>
        </w:rPr>
        <w:t xml:space="preserve">Rupert DD, Alvarez GV, Burdge EJ, Nahvi RJ, Schell SM, Faustino FL. Student-run free clinics stand at a critical junction between undergraduate medical education, clinical care, and advocacy. </w:t>
      </w:r>
      <w:r>
        <w:rPr>
          <w:rFonts w:ascii="Times New Roman" w:eastAsia="Times New Roman" w:hAnsi="Times New Roman" w:cs="Times New Roman"/>
          <w:i/>
          <w:iCs/>
          <w:color w:val="1B1B1B"/>
          <w:sz w:val="24"/>
          <w:szCs w:val="24"/>
          <w:highlight w:val="white"/>
        </w:rPr>
        <w:t>Acad Med.</w:t>
      </w:r>
      <w:r>
        <w:rPr>
          <w:rFonts w:ascii="Times New Roman" w:eastAsia="Times New Roman" w:hAnsi="Times New Roman" w:cs="Times New Roman"/>
          <w:color w:val="1B1B1B"/>
          <w:sz w:val="24"/>
          <w:szCs w:val="24"/>
          <w:highlight w:val="white"/>
        </w:rPr>
        <w:t xml:space="preserve"> 2022;97(6):824-831. doi:10.1097/ACM.0000000000004542</w:t>
      </w:r>
    </w:p>
    <w:p w14:paraId="181366EE"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 xml:space="preserve">Kalistratova VS, Nisanova A, Shi LZ. Student-run free clinics may enhance medical students' self-confidence in their clinical skills and preparedness for clerkships. </w:t>
      </w:r>
      <w:r>
        <w:rPr>
          <w:rFonts w:ascii="Times New Roman" w:eastAsia="Times New Roman" w:hAnsi="Times New Roman" w:cs="Times New Roman"/>
          <w:i/>
          <w:iCs/>
          <w:color w:val="1B1B1B"/>
          <w:sz w:val="24"/>
          <w:szCs w:val="24"/>
          <w:highlight w:val="white"/>
        </w:rPr>
        <w:t>Med Educ Online.</w:t>
      </w:r>
      <w:r>
        <w:rPr>
          <w:rFonts w:ascii="Times New Roman" w:eastAsia="Times New Roman" w:hAnsi="Times New Roman" w:cs="Times New Roman"/>
          <w:color w:val="1B1B1B"/>
          <w:sz w:val="24"/>
          <w:szCs w:val="24"/>
          <w:highlight w:val="white"/>
        </w:rPr>
        <w:t xml:space="preserve"> 2024;29(1):2348276. doi:10.1080/10872981.2024.2348276</w:t>
      </w:r>
    </w:p>
    <w:p w14:paraId="3B606545"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 xml:space="preserve">Mootz A, Price A, Elahi C, et al. Retrospective analysis of population demographic characteristics, medical interventions, and resource use at a medical student-run clinic on the Texas-Mexico border. </w:t>
      </w:r>
      <w:r>
        <w:rPr>
          <w:rFonts w:ascii="Times New Roman" w:eastAsia="Times New Roman" w:hAnsi="Times New Roman" w:cs="Times New Roman"/>
          <w:i/>
          <w:iCs/>
          <w:color w:val="1B1B1B"/>
          <w:sz w:val="24"/>
          <w:szCs w:val="24"/>
          <w:highlight w:val="white"/>
        </w:rPr>
        <w:t>J Health Care Poor Underserved.</w:t>
      </w:r>
      <w:r>
        <w:rPr>
          <w:rFonts w:ascii="Times New Roman" w:eastAsia="Times New Roman" w:hAnsi="Times New Roman" w:cs="Times New Roman"/>
          <w:color w:val="1B1B1B"/>
          <w:sz w:val="24"/>
          <w:szCs w:val="24"/>
          <w:highlight w:val="white"/>
        </w:rPr>
        <w:t xml:space="preserve"> 2019;30(2):519-531. doi:10.1353/hpu.2019.0034</w:t>
      </w:r>
    </w:p>
    <w:p w14:paraId="7C19D35E" w14:textId="77777777" w:rsidR="009E28D7" w:rsidRDefault="00000000">
      <w:pPr>
        <w:numPr>
          <w:ilvl w:val="0"/>
          <w:numId w:val="1"/>
        </w:numPr>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color w:val="333333"/>
          <w:sz w:val="24"/>
          <w:szCs w:val="24"/>
        </w:rPr>
        <w:t xml:space="preserve">Butala NM, Murk W, Horwitz LI, Graber LK, Bridger L, Ellis P. What is the quality of preventive care provided in a student-run free clinic? </w:t>
      </w:r>
      <w:r>
        <w:rPr>
          <w:rFonts w:ascii="Times New Roman" w:eastAsia="Times New Roman" w:hAnsi="Times New Roman" w:cs="Times New Roman"/>
          <w:i/>
          <w:iCs/>
          <w:color w:val="333333"/>
          <w:sz w:val="24"/>
          <w:szCs w:val="24"/>
        </w:rPr>
        <w:t>J Health Care Poor Underserved.</w:t>
      </w:r>
      <w:r>
        <w:rPr>
          <w:rFonts w:ascii="Times New Roman" w:eastAsia="Times New Roman" w:hAnsi="Times New Roman" w:cs="Times New Roman"/>
          <w:color w:val="333333"/>
          <w:sz w:val="24"/>
          <w:szCs w:val="24"/>
        </w:rPr>
        <w:t xml:space="preserve"> 2012;23(1):414-424. doi:10.1353/hpu.2012.0034</w:t>
      </w:r>
    </w:p>
    <w:p w14:paraId="05CEAC0C" w14:textId="77777777" w:rsidR="009E28D7" w:rsidRDefault="00000000">
      <w:pPr>
        <w:numPr>
          <w:ilvl w:val="0"/>
          <w:numId w:val="1"/>
        </w:num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Cadzow RB, Craig M, Rowe J, Kahn LS. Transforming community members into diabetes cultural health brokers: the Neighborhood Health Talker project. </w:t>
      </w:r>
      <w:r>
        <w:rPr>
          <w:rFonts w:ascii="Times New Roman" w:eastAsia="Times New Roman" w:hAnsi="Times New Roman" w:cs="Times New Roman"/>
          <w:i/>
          <w:iCs/>
          <w:color w:val="333333"/>
          <w:sz w:val="24"/>
          <w:szCs w:val="24"/>
          <w:highlight w:val="white"/>
        </w:rPr>
        <w:t>Diabetes Educ.</w:t>
      </w:r>
      <w:r>
        <w:rPr>
          <w:rFonts w:ascii="Times New Roman" w:eastAsia="Times New Roman" w:hAnsi="Times New Roman" w:cs="Times New Roman"/>
          <w:color w:val="333333"/>
          <w:sz w:val="24"/>
          <w:szCs w:val="24"/>
          <w:highlight w:val="white"/>
        </w:rPr>
        <w:t xml:space="preserve"> 2013;39(1):100-108.</w:t>
      </w:r>
    </w:p>
    <w:p w14:paraId="64AAF53D" w14:textId="77777777" w:rsidR="009E28D7" w:rsidRDefault="00000000">
      <w:pPr>
        <w:numPr>
          <w:ilvl w:val="0"/>
          <w:numId w:val="1"/>
        </w:num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Butala NM, Chang H, Horwitz LI, Bartlett M, Ellis P. Improving quality of preventive care at a student-run free clinic. </w:t>
      </w:r>
      <w:r>
        <w:rPr>
          <w:rFonts w:ascii="Times New Roman" w:eastAsia="Times New Roman" w:hAnsi="Times New Roman" w:cs="Times New Roman"/>
          <w:i/>
          <w:iCs/>
          <w:color w:val="333333"/>
          <w:sz w:val="24"/>
          <w:szCs w:val="24"/>
          <w:highlight w:val="white"/>
        </w:rPr>
        <w:t>PLoS One.</w:t>
      </w:r>
      <w:r>
        <w:rPr>
          <w:rFonts w:ascii="Times New Roman" w:eastAsia="Times New Roman" w:hAnsi="Times New Roman" w:cs="Times New Roman"/>
          <w:color w:val="333333"/>
          <w:sz w:val="24"/>
          <w:szCs w:val="24"/>
          <w:highlight w:val="white"/>
        </w:rPr>
        <w:t xml:space="preserve"> 2013;8(11):e81441. doi:10.1371/journal.pone.0081441</w:t>
      </w:r>
    </w:p>
    <w:p w14:paraId="0D8F1DCC" w14:textId="77777777" w:rsidR="009E28D7" w:rsidRDefault="00000000">
      <w:pPr>
        <w:numPr>
          <w:ilvl w:val="0"/>
          <w:numId w:val="1"/>
        </w:num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212121"/>
          <w:sz w:val="24"/>
          <w:szCs w:val="24"/>
          <w:highlight w:val="white"/>
        </w:rPr>
        <w:lastRenderedPageBreak/>
        <w:t xml:space="preserve">Wu WH, Yang L, Peng FH, et al. Lower socioeconomic status is associated with worse outcomes in pulmonary arterial hypertension. </w:t>
      </w:r>
      <w:r>
        <w:rPr>
          <w:rFonts w:ascii="Times New Roman" w:eastAsia="Times New Roman" w:hAnsi="Times New Roman" w:cs="Times New Roman"/>
          <w:i/>
          <w:iCs/>
          <w:color w:val="212121"/>
          <w:sz w:val="24"/>
          <w:szCs w:val="24"/>
          <w:highlight w:val="white"/>
        </w:rPr>
        <w:t>Am J Respir Crit Care Med.</w:t>
      </w:r>
      <w:r>
        <w:rPr>
          <w:rFonts w:ascii="Times New Roman" w:eastAsia="Times New Roman" w:hAnsi="Times New Roman" w:cs="Times New Roman"/>
          <w:color w:val="212121"/>
          <w:sz w:val="24"/>
          <w:szCs w:val="24"/>
          <w:highlight w:val="white"/>
        </w:rPr>
        <w:t xml:space="preserve"> 2013;187(3):303-310. doi:10.1164/rccm.201207-1290OC</w:t>
      </w:r>
    </w:p>
    <w:p w14:paraId="4676DF85" w14:textId="77777777" w:rsidR="009E28D7" w:rsidRDefault="00000000">
      <w:pPr>
        <w:numPr>
          <w:ilvl w:val="0"/>
          <w:numId w:val="1"/>
        </w:num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333333"/>
          <w:sz w:val="24"/>
          <w:szCs w:val="24"/>
          <w:highlight w:val="white"/>
        </w:rPr>
        <w:t xml:space="preserve">Ngai KM, Grudzen CR, Lee R, Tong VY, Richardson LD, Fernandez A. The association between limited English proficiency and unplanned emergency department revisit within 72 hours. </w:t>
      </w:r>
      <w:r>
        <w:rPr>
          <w:rFonts w:ascii="Times New Roman" w:eastAsia="Times New Roman" w:hAnsi="Times New Roman" w:cs="Times New Roman"/>
          <w:i/>
          <w:iCs/>
          <w:color w:val="333333"/>
          <w:sz w:val="24"/>
          <w:szCs w:val="24"/>
          <w:highlight w:val="white"/>
        </w:rPr>
        <w:t>Ann Emerg Med.</w:t>
      </w:r>
      <w:r>
        <w:rPr>
          <w:rFonts w:ascii="Times New Roman" w:eastAsia="Times New Roman" w:hAnsi="Times New Roman" w:cs="Times New Roman"/>
          <w:color w:val="333333"/>
          <w:sz w:val="24"/>
          <w:szCs w:val="24"/>
          <w:highlight w:val="white"/>
        </w:rPr>
        <w:t xml:space="preserve"> 2016;68(2):213-221. doi:10.1016/j.annemergmed.2016.02.042</w:t>
      </w:r>
    </w:p>
    <w:p w14:paraId="5969C4EF" w14:textId="77777777" w:rsidR="009E28D7" w:rsidRDefault="00000000">
      <w:pPr>
        <w:numPr>
          <w:ilvl w:val="0"/>
          <w:numId w:val="1"/>
        </w:numPr>
        <w:spacing w:line="48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1B1B1B"/>
          <w:sz w:val="24"/>
          <w:szCs w:val="24"/>
          <w:highlight w:val="white"/>
        </w:rPr>
        <w:t>US Department of Health and Human Services. Health Resources and Services Administration, Bureau of Health Workforce. What is shortage designation? HRSA website. Accessed November 19, 2025.</w:t>
      </w:r>
      <w:hyperlink r:id="rId6">
        <w:r>
          <w:rPr>
            <w:rFonts w:ascii="Times New Roman" w:eastAsia="Times New Roman" w:hAnsi="Times New Roman" w:cs="Times New Roman"/>
            <w:color w:val="1B1B1B"/>
            <w:sz w:val="24"/>
            <w:szCs w:val="24"/>
            <w:highlight w:val="white"/>
          </w:rPr>
          <w:t xml:space="preserve"> </w:t>
        </w:r>
      </w:hyperlink>
      <w:hyperlink r:id="rId7">
        <w:r>
          <w:rPr>
            <w:rFonts w:ascii="Times New Roman" w:eastAsia="Times New Roman" w:hAnsi="Times New Roman" w:cs="Times New Roman"/>
            <w:color w:val="1155CC"/>
            <w:sz w:val="24"/>
            <w:szCs w:val="24"/>
            <w:highlight w:val="white"/>
            <w:u w:val="single"/>
          </w:rPr>
          <w:t>https://bhw.hrsa.gov/workforce-shortage-areas/shortage-designation</w:t>
        </w:r>
      </w:hyperlink>
    </w:p>
    <w:p w14:paraId="49B4F9F0"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Health Resources and Services Administration. About HRSA. HRSA website. Accessed January 23, 2026.</w:t>
      </w:r>
      <w:hyperlink r:id="rId8">
        <w:r>
          <w:rPr>
            <w:rFonts w:ascii="Times New Roman" w:eastAsia="Times New Roman" w:hAnsi="Times New Roman" w:cs="Times New Roman"/>
            <w:color w:val="1B1B1B"/>
            <w:sz w:val="24"/>
            <w:szCs w:val="24"/>
            <w:highlight w:val="white"/>
          </w:rPr>
          <w:t xml:space="preserve"> </w:t>
        </w:r>
      </w:hyperlink>
      <w:hyperlink r:id="rId9">
        <w:r>
          <w:rPr>
            <w:rFonts w:ascii="Times New Roman" w:eastAsia="Times New Roman" w:hAnsi="Times New Roman" w:cs="Times New Roman"/>
            <w:color w:val="1155CC"/>
            <w:sz w:val="24"/>
            <w:szCs w:val="24"/>
            <w:highlight w:val="white"/>
            <w:u w:val="single"/>
          </w:rPr>
          <w:t>https://www.hrsa.gov/about</w:t>
        </w:r>
      </w:hyperlink>
    </w:p>
    <w:p w14:paraId="3EE5425B"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 xml:space="preserve">Washington State Department of Health. </w:t>
      </w:r>
      <w:r>
        <w:rPr>
          <w:rFonts w:ascii="Times New Roman" w:eastAsia="Times New Roman" w:hAnsi="Times New Roman" w:cs="Times New Roman"/>
          <w:i/>
          <w:iCs/>
          <w:color w:val="1B1B1B"/>
          <w:sz w:val="24"/>
          <w:szCs w:val="24"/>
          <w:highlight w:val="white"/>
        </w:rPr>
        <w:t>An Overview of Federal Health Professional Shortage Area and Medically Underserved Area/Population Designations in Washington State.</w:t>
      </w:r>
      <w:r>
        <w:rPr>
          <w:rFonts w:ascii="Times New Roman" w:eastAsia="Times New Roman" w:hAnsi="Times New Roman" w:cs="Times New Roman"/>
          <w:color w:val="1B1B1B"/>
          <w:sz w:val="24"/>
          <w:szCs w:val="24"/>
          <w:highlight w:val="white"/>
        </w:rPr>
        <w:t xml:space="preserve"> Washington State Department of Health; 2023.</w:t>
      </w:r>
    </w:p>
    <w:p w14:paraId="7C2F728C"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 xml:space="preserve">Salinsky E. </w:t>
      </w:r>
      <w:r>
        <w:rPr>
          <w:rFonts w:ascii="Times New Roman" w:eastAsia="Times New Roman" w:hAnsi="Times New Roman" w:cs="Times New Roman"/>
          <w:i/>
          <w:iCs/>
          <w:color w:val="1B1B1B"/>
          <w:sz w:val="24"/>
          <w:szCs w:val="24"/>
          <w:highlight w:val="white"/>
        </w:rPr>
        <w:t>Health Care Shortage Designations: HPSA, MUA, and TBD.</w:t>
      </w:r>
      <w:r>
        <w:rPr>
          <w:rFonts w:ascii="Times New Roman" w:eastAsia="Times New Roman" w:hAnsi="Times New Roman" w:cs="Times New Roman"/>
          <w:color w:val="1B1B1B"/>
          <w:sz w:val="24"/>
          <w:szCs w:val="24"/>
          <w:highlight w:val="white"/>
        </w:rPr>
        <w:t xml:space="preserve"> National Health Policy Forum; 2010. Report No. 225. Accessed January 25, 2026.</w:t>
      </w:r>
      <w:hyperlink r:id="rId10">
        <w:r>
          <w:rPr>
            <w:rFonts w:ascii="Times New Roman" w:eastAsia="Times New Roman" w:hAnsi="Times New Roman" w:cs="Times New Roman"/>
            <w:color w:val="1B1B1B"/>
            <w:sz w:val="24"/>
            <w:szCs w:val="24"/>
            <w:highlight w:val="white"/>
          </w:rPr>
          <w:t xml:space="preserve"> </w:t>
        </w:r>
      </w:hyperlink>
      <w:hyperlink r:id="rId11">
        <w:r>
          <w:rPr>
            <w:rFonts w:ascii="Times New Roman" w:eastAsia="Times New Roman" w:hAnsi="Times New Roman" w:cs="Times New Roman"/>
            <w:color w:val="1155CC"/>
            <w:sz w:val="24"/>
            <w:szCs w:val="24"/>
            <w:highlight w:val="white"/>
            <w:u w:val="single"/>
          </w:rPr>
          <w:t>https://hsrc.himmelfarb.gwu.edu/sphhs_centers_nhpf/225</w:t>
        </w:r>
      </w:hyperlink>
    </w:p>
    <w:p w14:paraId="434A6EBA"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Health Resources and Services Administration. Health workforce shortage areas dashboard. HRSA website. Updated January 21, 2026. Accessed January 23, 2026.</w:t>
      </w:r>
      <w:hyperlink r:id="rId12">
        <w:r>
          <w:rPr>
            <w:rFonts w:ascii="Times New Roman" w:eastAsia="Times New Roman" w:hAnsi="Times New Roman" w:cs="Times New Roman"/>
            <w:color w:val="1B1B1B"/>
            <w:sz w:val="24"/>
            <w:szCs w:val="24"/>
            <w:highlight w:val="white"/>
          </w:rPr>
          <w:t xml:space="preserve"> </w:t>
        </w:r>
      </w:hyperlink>
      <w:hyperlink r:id="rId13">
        <w:r>
          <w:rPr>
            <w:rFonts w:ascii="Times New Roman" w:eastAsia="Times New Roman" w:hAnsi="Times New Roman" w:cs="Times New Roman"/>
            <w:color w:val="1155CC"/>
            <w:sz w:val="24"/>
            <w:szCs w:val="24"/>
            <w:highlight w:val="white"/>
            <w:u w:val="single"/>
          </w:rPr>
          <w:t>https://data.hrsa.gov/topics/health-workforce/shortage-areas/dashboard?tab=muapHeader</w:t>
        </w:r>
      </w:hyperlink>
    </w:p>
    <w:p w14:paraId="1986B7CE"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lastRenderedPageBreak/>
        <w:t xml:space="preserve">Liu JJ. Health professional shortage and health status and health care access. </w:t>
      </w:r>
      <w:r>
        <w:rPr>
          <w:rFonts w:ascii="Times New Roman" w:eastAsia="Times New Roman" w:hAnsi="Times New Roman" w:cs="Times New Roman"/>
          <w:i/>
          <w:iCs/>
          <w:color w:val="1B1B1B"/>
          <w:sz w:val="24"/>
          <w:szCs w:val="24"/>
          <w:highlight w:val="white"/>
        </w:rPr>
        <w:t>J Health Care Poor Underserved.</w:t>
      </w:r>
      <w:r>
        <w:rPr>
          <w:rFonts w:ascii="Times New Roman" w:eastAsia="Times New Roman" w:hAnsi="Times New Roman" w:cs="Times New Roman"/>
          <w:color w:val="1B1B1B"/>
          <w:sz w:val="24"/>
          <w:szCs w:val="24"/>
          <w:highlight w:val="white"/>
        </w:rPr>
        <w:t xml:space="preserve"> 2007;18(3):590-598. doi:10.1353/hpu.2007.0062</w:t>
      </w:r>
    </w:p>
    <w:p w14:paraId="60461255"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212121"/>
          <w:sz w:val="24"/>
          <w:szCs w:val="24"/>
          <w:highlight w:val="white"/>
        </w:rPr>
        <w:t xml:space="preserve">Brown TM, Parmar G, Durant RW, et al. Health professional shortage areas, insurance status, and cardiovascular disease prevention in the REGARDS study. </w:t>
      </w:r>
      <w:r>
        <w:rPr>
          <w:rFonts w:ascii="Times New Roman" w:eastAsia="Times New Roman" w:hAnsi="Times New Roman" w:cs="Times New Roman"/>
          <w:i/>
          <w:iCs/>
          <w:color w:val="212121"/>
          <w:sz w:val="24"/>
          <w:szCs w:val="24"/>
          <w:highlight w:val="white"/>
        </w:rPr>
        <w:t>J Health Care Poor Underserved.</w:t>
      </w:r>
      <w:r>
        <w:rPr>
          <w:rFonts w:ascii="Times New Roman" w:eastAsia="Times New Roman" w:hAnsi="Times New Roman" w:cs="Times New Roman"/>
          <w:color w:val="212121"/>
          <w:sz w:val="24"/>
          <w:szCs w:val="24"/>
          <w:highlight w:val="white"/>
        </w:rPr>
        <w:t xml:space="preserve"> 2011;22(4):1179-1189. doi:10.1353/hpu.2011.0127</w:t>
      </w:r>
    </w:p>
    <w:p w14:paraId="7B3A1F11" w14:textId="77777777" w:rsidR="009E28D7" w:rsidRDefault="00000000">
      <w:pPr>
        <w:numPr>
          <w:ilvl w:val="0"/>
          <w:numId w:val="1"/>
        </w:num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Suri R, Macinko J, Inkelas M, Needleman J. The relationship between insurance status and the Affordable Care Act on asthma outcomes among low-income US adults. </w:t>
      </w:r>
      <w:r>
        <w:rPr>
          <w:rFonts w:ascii="Times New Roman" w:eastAsia="Times New Roman" w:hAnsi="Times New Roman" w:cs="Times New Roman"/>
          <w:i/>
          <w:iCs/>
          <w:color w:val="212121"/>
          <w:sz w:val="24"/>
          <w:szCs w:val="24"/>
          <w:highlight w:val="white"/>
        </w:rPr>
        <w:t>Chest.</w:t>
      </w:r>
      <w:r>
        <w:rPr>
          <w:rFonts w:ascii="Times New Roman" w:eastAsia="Times New Roman" w:hAnsi="Times New Roman" w:cs="Times New Roman"/>
          <w:color w:val="212121"/>
          <w:sz w:val="24"/>
          <w:szCs w:val="24"/>
          <w:highlight w:val="white"/>
        </w:rPr>
        <w:t xml:space="preserve"> 2022;161(6):1465-1474. doi:10.1016/j.chest.2022.01.011</w:t>
      </w:r>
    </w:p>
    <w:p w14:paraId="7FC6C75B" w14:textId="77777777" w:rsidR="009E28D7" w:rsidRDefault="00000000">
      <w:pPr>
        <w:numPr>
          <w:ilvl w:val="0"/>
          <w:numId w:val="1"/>
        </w:num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Ibrahim R, Habib A, Terrani K, et al. County-level variation in healthcare coverage and ischemic heart disease mortality. </w:t>
      </w:r>
      <w:r>
        <w:rPr>
          <w:rFonts w:ascii="Times New Roman" w:eastAsia="Times New Roman" w:hAnsi="Times New Roman" w:cs="Times New Roman"/>
          <w:i/>
          <w:iCs/>
          <w:color w:val="212121"/>
          <w:sz w:val="24"/>
          <w:szCs w:val="24"/>
          <w:highlight w:val="white"/>
        </w:rPr>
        <w:t>PLoS One.</w:t>
      </w:r>
      <w:r>
        <w:rPr>
          <w:rFonts w:ascii="Times New Roman" w:eastAsia="Times New Roman" w:hAnsi="Times New Roman" w:cs="Times New Roman"/>
          <w:color w:val="212121"/>
          <w:sz w:val="24"/>
          <w:szCs w:val="24"/>
          <w:highlight w:val="white"/>
        </w:rPr>
        <w:t xml:space="preserve"> 2024;19(1):e0292167. doi:10.1371/journal.pone.0292167</w:t>
      </w:r>
    </w:p>
    <w:p w14:paraId="07DAFBC0" w14:textId="77777777" w:rsidR="009E28D7" w:rsidRDefault="00000000">
      <w:pPr>
        <w:numPr>
          <w:ilvl w:val="0"/>
          <w:numId w:val="1"/>
        </w:num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Mauch L, Williams AD. Joint exposure to urban-rural status and medically underserved area residence and risk of severe COVID-19 outcomes in 2020. </w:t>
      </w:r>
      <w:r>
        <w:rPr>
          <w:rFonts w:ascii="Times New Roman" w:eastAsia="Times New Roman" w:hAnsi="Times New Roman" w:cs="Times New Roman"/>
          <w:i/>
          <w:iCs/>
          <w:color w:val="212121"/>
          <w:sz w:val="24"/>
          <w:szCs w:val="24"/>
          <w:highlight w:val="white"/>
        </w:rPr>
        <w:t>Rural Remote Health.</w:t>
      </w:r>
      <w:r>
        <w:rPr>
          <w:rFonts w:ascii="Times New Roman" w:eastAsia="Times New Roman" w:hAnsi="Times New Roman" w:cs="Times New Roman"/>
          <w:color w:val="212121"/>
          <w:sz w:val="24"/>
          <w:szCs w:val="24"/>
          <w:highlight w:val="white"/>
        </w:rPr>
        <w:t xml:space="preserve"> 2023;23(4):8373. doi:10.22605/RRH8373</w:t>
      </w:r>
    </w:p>
    <w:p w14:paraId="76F8BACE" w14:textId="77777777" w:rsidR="009E28D7" w:rsidRDefault="00000000">
      <w:pPr>
        <w:numPr>
          <w:ilvl w:val="0"/>
          <w:numId w:val="1"/>
        </w:num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 xml:space="preserve">Weissman JS, Stern R, Fielding SL, et al. Delayed access to health care: risk factors, reasons, and consequences. </w:t>
      </w:r>
      <w:r>
        <w:rPr>
          <w:rFonts w:ascii="Times New Roman" w:eastAsia="Times New Roman" w:hAnsi="Times New Roman" w:cs="Times New Roman"/>
          <w:i/>
          <w:iCs/>
          <w:color w:val="212121"/>
          <w:sz w:val="24"/>
          <w:szCs w:val="24"/>
          <w:highlight w:val="white"/>
        </w:rPr>
        <w:t>Ann Intern Med.</w:t>
      </w:r>
      <w:r>
        <w:rPr>
          <w:rFonts w:ascii="Times New Roman" w:eastAsia="Times New Roman" w:hAnsi="Times New Roman" w:cs="Times New Roman"/>
          <w:color w:val="212121"/>
          <w:sz w:val="24"/>
          <w:szCs w:val="24"/>
          <w:highlight w:val="white"/>
        </w:rPr>
        <w:t xml:space="preserve"> 1991;114(4):325-331. doi:10.7326/0003-4819-114-4-325</w:t>
      </w:r>
    </w:p>
    <w:p w14:paraId="3F236AAB" w14:textId="77777777" w:rsidR="009E28D7"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Columbia University. The revised common rule. Columbia University Research Compliance and Training website. Accessed January 22, 2026.</w:t>
      </w:r>
      <w:hyperlink r:id="rId14">
        <w:r>
          <w:rPr>
            <w:rFonts w:ascii="Times New Roman" w:eastAsia="Times New Roman" w:hAnsi="Times New Roman" w:cs="Times New Roman"/>
            <w:sz w:val="24"/>
            <w:szCs w:val="24"/>
          </w:rPr>
          <w:t xml:space="preserve"> </w:t>
        </w:r>
      </w:hyperlink>
      <w:hyperlink r:id="rId15">
        <w:r>
          <w:rPr>
            <w:rFonts w:ascii="Times New Roman" w:eastAsia="Times New Roman" w:hAnsi="Times New Roman" w:cs="Times New Roman"/>
            <w:color w:val="1155CC"/>
            <w:sz w:val="24"/>
            <w:szCs w:val="24"/>
            <w:u w:val="single"/>
          </w:rPr>
          <w:t>https://research.columbia.edu/revised-common-rule</w:t>
        </w:r>
      </w:hyperlink>
    </w:p>
    <w:p w14:paraId="4CC0094C" w14:textId="77777777" w:rsidR="009E28D7" w:rsidRDefault="00000000">
      <w:pPr>
        <w:numPr>
          <w:ilvl w:val="0"/>
          <w:numId w:val="1"/>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Society of Student-Run Free Clinics. Society of Student-Run Free Clinics website. Accessed January 22, 2026.</w:t>
      </w:r>
      <w:hyperlink r:id="rId16">
        <w:r>
          <w:rPr>
            <w:rFonts w:ascii="Times New Roman" w:eastAsia="Times New Roman" w:hAnsi="Times New Roman" w:cs="Times New Roman"/>
            <w:color w:val="1155CC"/>
            <w:sz w:val="24"/>
            <w:szCs w:val="24"/>
            <w:u w:val="single"/>
          </w:rPr>
          <w:t xml:space="preserve"> https://www.studentrunfreeclinics.org/</w:t>
        </w:r>
      </w:hyperlink>
    </w:p>
    <w:p w14:paraId="7E318704" w14:textId="77777777" w:rsidR="009E28D7" w:rsidRDefault="009E28D7">
      <w:pPr>
        <w:spacing w:line="480" w:lineRule="auto"/>
        <w:ind w:left="720"/>
        <w:rPr>
          <w:rFonts w:ascii="Times New Roman" w:eastAsia="Times New Roman" w:hAnsi="Times New Roman" w:cs="Times New Roman"/>
          <w:sz w:val="24"/>
          <w:szCs w:val="24"/>
        </w:rPr>
      </w:pPr>
    </w:p>
    <w:p w14:paraId="4D159F8F" w14:textId="77777777" w:rsidR="009E28D7"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Health Resources and Services Administration. Find shortage areas by address. HRSA website. Accessed January 22, 2026.</w:t>
      </w:r>
      <w:hyperlink r:id="rId17">
        <w:r>
          <w:rPr>
            <w:rFonts w:ascii="Times New Roman" w:eastAsia="Times New Roman" w:hAnsi="Times New Roman" w:cs="Times New Roman"/>
            <w:sz w:val="24"/>
            <w:szCs w:val="24"/>
          </w:rPr>
          <w:t xml:space="preserve"> </w:t>
        </w:r>
      </w:hyperlink>
      <w:hyperlink r:id="rId18">
        <w:r>
          <w:rPr>
            <w:rFonts w:ascii="Times New Roman" w:eastAsia="Times New Roman" w:hAnsi="Times New Roman" w:cs="Times New Roman"/>
            <w:color w:val="1155CC"/>
            <w:sz w:val="24"/>
            <w:szCs w:val="24"/>
            <w:u w:val="single"/>
          </w:rPr>
          <w:t>https://data.hrsa.gov/topics/health-workforce/shortage-areas/by-address</w:t>
        </w:r>
      </w:hyperlink>
    </w:p>
    <w:p w14:paraId="51971B92" w14:textId="77777777" w:rsidR="009E28D7"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UnitedStatesZipCodes.org. United States ZIP Codes website. Accessed January 22, 2026.</w:t>
      </w:r>
      <w:hyperlink r:id="rId19">
        <w:r>
          <w:rPr>
            <w:rFonts w:ascii="Times New Roman" w:eastAsia="Times New Roman" w:hAnsi="Times New Roman" w:cs="Times New Roman"/>
            <w:sz w:val="24"/>
            <w:szCs w:val="24"/>
          </w:rPr>
          <w:t xml:space="preserve"> </w:t>
        </w:r>
      </w:hyperlink>
      <w:hyperlink r:id="rId20">
        <w:r>
          <w:rPr>
            <w:rFonts w:ascii="Times New Roman" w:eastAsia="Times New Roman" w:hAnsi="Times New Roman" w:cs="Times New Roman"/>
            <w:color w:val="1155CC"/>
            <w:sz w:val="24"/>
            <w:szCs w:val="24"/>
            <w:u w:val="single"/>
          </w:rPr>
          <w:t>https://www.unitedstateszipcodes.org/</w:t>
        </w:r>
      </w:hyperlink>
    </w:p>
    <w:p w14:paraId="2D099C16" w14:textId="77777777" w:rsidR="009E28D7"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 Census Bureau. Small area health insurance estimates (SAHIE) interactive data tool. US Census Bureau website. Accessed January 22, 2026.</w:t>
      </w:r>
      <w:hyperlink r:id="rId21" w:anchor="/">
        <w:r>
          <w:rPr>
            <w:rFonts w:ascii="Times New Roman" w:eastAsia="Times New Roman" w:hAnsi="Times New Roman" w:cs="Times New Roman"/>
            <w:sz w:val="24"/>
            <w:szCs w:val="24"/>
          </w:rPr>
          <w:t xml:space="preserve"> </w:t>
        </w:r>
      </w:hyperlink>
      <w:hyperlink r:id="rId22" w:anchor="/">
        <w:r>
          <w:rPr>
            <w:rFonts w:ascii="Times New Roman" w:eastAsia="Times New Roman" w:hAnsi="Times New Roman" w:cs="Times New Roman"/>
            <w:color w:val="1155CC"/>
            <w:sz w:val="24"/>
            <w:szCs w:val="24"/>
            <w:u w:val="single"/>
          </w:rPr>
          <w:t>https://www.census.gov/data-tools/demo/sahie/#/</w:t>
        </w:r>
      </w:hyperlink>
    </w:p>
    <w:p w14:paraId="64B5CEFB" w14:textId="77777777" w:rsidR="009E28D7"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 Census Bureau. data.census.gov. US Census Bureau website. Accessed January 22, 2026.</w:t>
      </w:r>
      <w:hyperlink r:id="rId23">
        <w:r>
          <w:rPr>
            <w:rFonts w:ascii="Times New Roman" w:eastAsia="Times New Roman" w:hAnsi="Times New Roman" w:cs="Times New Roman"/>
            <w:sz w:val="24"/>
            <w:szCs w:val="24"/>
          </w:rPr>
          <w:t xml:space="preserve"> </w:t>
        </w:r>
      </w:hyperlink>
      <w:hyperlink r:id="rId24">
        <w:r>
          <w:rPr>
            <w:rFonts w:ascii="Times New Roman" w:eastAsia="Times New Roman" w:hAnsi="Times New Roman" w:cs="Times New Roman"/>
            <w:color w:val="1155CC"/>
            <w:sz w:val="24"/>
            <w:szCs w:val="24"/>
            <w:u w:val="single"/>
          </w:rPr>
          <w:t>https://data.census.gov/</w:t>
        </w:r>
      </w:hyperlink>
    </w:p>
    <w:p w14:paraId="2DD26EF7" w14:textId="77777777" w:rsidR="009E28D7"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highlight w:val="white"/>
        </w:rPr>
        <w:t>US Census Bureau. Nation’s urban and rural populations shift following 2020 census. US Census Bureau website. Published December 29, 2022. Accessed January 22, 2026.</w:t>
      </w:r>
      <w:hyperlink r:id="rId25">
        <w:r>
          <w:rPr>
            <w:rFonts w:ascii="Times New Roman" w:eastAsia="Times New Roman" w:hAnsi="Times New Roman" w:cs="Times New Roman"/>
            <w:color w:val="212121"/>
            <w:sz w:val="24"/>
            <w:szCs w:val="24"/>
            <w:highlight w:val="white"/>
          </w:rPr>
          <w:t xml:space="preserve"> </w:t>
        </w:r>
      </w:hyperlink>
      <w:hyperlink r:id="rId26">
        <w:r>
          <w:rPr>
            <w:rFonts w:ascii="Times New Roman" w:eastAsia="Times New Roman" w:hAnsi="Times New Roman" w:cs="Times New Roman"/>
            <w:color w:val="1155CC"/>
            <w:sz w:val="24"/>
            <w:szCs w:val="24"/>
            <w:highlight w:val="white"/>
            <w:u w:val="single"/>
          </w:rPr>
          <w:t>https://www.census.gov/newsroom/press-releases/2022/urban-rural-populations.html</w:t>
        </w:r>
      </w:hyperlink>
    </w:p>
    <w:p w14:paraId="7CF7D643" w14:textId="77777777" w:rsidR="009E28D7" w:rsidRDefault="00000000">
      <w:pPr>
        <w:numPr>
          <w:ilvl w:val="0"/>
          <w:numId w:val="1"/>
        </w:numPr>
        <w:spacing w:line="48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1B1B1B"/>
          <w:sz w:val="24"/>
          <w:szCs w:val="24"/>
          <w:highlight w:val="white"/>
        </w:rPr>
        <w:t xml:space="preserve">Chen X, Orom H, Hay JL, et al. Differences in rural and urban health information access and use. </w:t>
      </w:r>
      <w:r>
        <w:rPr>
          <w:rFonts w:ascii="Times New Roman" w:eastAsia="Times New Roman" w:hAnsi="Times New Roman" w:cs="Times New Roman"/>
          <w:i/>
          <w:iCs/>
          <w:color w:val="1B1B1B"/>
          <w:sz w:val="24"/>
          <w:szCs w:val="24"/>
          <w:highlight w:val="white"/>
        </w:rPr>
        <w:t>J Rural Health.</w:t>
      </w:r>
      <w:r>
        <w:rPr>
          <w:rFonts w:ascii="Times New Roman" w:eastAsia="Times New Roman" w:hAnsi="Times New Roman" w:cs="Times New Roman"/>
          <w:color w:val="1B1B1B"/>
          <w:sz w:val="24"/>
          <w:szCs w:val="24"/>
          <w:highlight w:val="white"/>
        </w:rPr>
        <w:t xml:space="preserve"> 2019;35(3):405-417. doi:10.1111/jrh.12335</w:t>
      </w:r>
    </w:p>
    <w:p w14:paraId="4AE3D50E" w14:textId="77777777" w:rsidR="009E28D7" w:rsidRDefault="00000000">
      <w:pPr>
        <w:numPr>
          <w:ilvl w:val="0"/>
          <w:numId w:val="1"/>
        </w:numPr>
        <w:spacing w:line="480" w:lineRule="auto"/>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 xml:space="preserve">Eisenstein S, Huang X, McBride T, Mueller K. </w:t>
      </w:r>
      <w:r>
        <w:rPr>
          <w:rFonts w:ascii="Times New Roman" w:eastAsia="Times New Roman" w:hAnsi="Times New Roman" w:cs="Times New Roman"/>
          <w:i/>
          <w:iCs/>
          <w:color w:val="1B1B1B"/>
          <w:sz w:val="24"/>
          <w:szCs w:val="24"/>
          <w:highlight w:val="white"/>
        </w:rPr>
        <w:t>Health Insurance Coverage in Rural and Urban Areas in the US, 2023.</w:t>
      </w:r>
      <w:r>
        <w:rPr>
          <w:rFonts w:ascii="Times New Roman" w:eastAsia="Times New Roman" w:hAnsi="Times New Roman" w:cs="Times New Roman"/>
          <w:color w:val="1B1B1B"/>
          <w:sz w:val="24"/>
          <w:szCs w:val="24"/>
          <w:highlight w:val="white"/>
        </w:rPr>
        <w:t xml:space="preserve"> RUPRI Center for Rural Health Policy Analysis; 2025. Accessed February 28, 2026.</w:t>
      </w:r>
    </w:p>
    <w:p w14:paraId="21715893" w14:textId="77777777" w:rsidR="009E28D7" w:rsidRDefault="00000000">
      <w:pPr>
        <w:numPr>
          <w:ilvl w:val="0"/>
          <w:numId w:val="1"/>
        </w:numPr>
        <w:spacing w:line="480" w:lineRule="auto"/>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 xml:space="preserve">Ramedani S, Khristov V, Palisoc M, Mendez Miller M. An algorithm for free clinic deployment: bridging the gap in healthcare access in rural Pennsylvania. </w:t>
      </w:r>
      <w:r>
        <w:rPr>
          <w:rFonts w:ascii="Times New Roman" w:eastAsia="Times New Roman" w:hAnsi="Times New Roman" w:cs="Times New Roman"/>
          <w:i/>
          <w:iCs/>
          <w:color w:val="212121"/>
          <w:sz w:val="24"/>
          <w:szCs w:val="24"/>
        </w:rPr>
        <w:t>J Stud Run Clin.</w:t>
      </w:r>
      <w:r>
        <w:rPr>
          <w:rFonts w:ascii="Times New Roman" w:eastAsia="Times New Roman" w:hAnsi="Times New Roman" w:cs="Times New Roman"/>
          <w:color w:val="212121"/>
          <w:sz w:val="24"/>
          <w:szCs w:val="24"/>
        </w:rPr>
        <w:t xml:space="preserve"> 2022;8(1). doi:10.59586/jsrc.v8i1.305</w:t>
      </w:r>
    </w:p>
    <w:p w14:paraId="145FB4C1" w14:textId="77777777" w:rsidR="009E28D7" w:rsidRDefault="00000000">
      <w:pPr>
        <w:numPr>
          <w:ilvl w:val="0"/>
          <w:numId w:val="1"/>
        </w:numPr>
        <w:spacing w:line="480" w:lineRule="auto"/>
        <w:rPr>
          <w:rFonts w:ascii="Times New Roman" w:eastAsia="Times New Roman" w:hAnsi="Times New Roman" w:cs="Times New Roman"/>
          <w:color w:val="212121"/>
          <w:sz w:val="24"/>
          <w:szCs w:val="24"/>
        </w:rPr>
      </w:pPr>
      <w:r>
        <w:rPr>
          <w:rFonts w:ascii="Times New Roman" w:eastAsia="Times New Roman" w:hAnsi="Times New Roman" w:cs="Times New Roman"/>
          <w:color w:val="222222"/>
          <w:sz w:val="24"/>
          <w:szCs w:val="24"/>
        </w:rPr>
        <w:lastRenderedPageBreak/>
        <w:t xml:space="preserve">Esser K, McKeown J, White T, et al. Disparities in patient demographics at a student-run free clinic: comparing clinic utilization to city, state, and national trends. </w:t>
      </w:r>
      <w:r>
        <w:rPr>
          <w:rFonts w:ascii="Times New Roman" w:eastAsia="Times New Roman" w:hAnsi="Times New Roman" w:cs="Times New Roman"/>
          <w:i/>
          <w:iCs/>
          <w:color w:val="222222"/>
          <w:sz w:val="24"/>
          <w:szCs w:val="24"/>
        </w:rPr>
        <w:t>J Community Health.</w:t>
      </w:r>
      <w:r>
        <w:rPr>
          <w:rFonts w:ascii="Times New Roman" w:eastAsia="Times New Roman" w:hAnsi="Times New Roman" w:cs="Times New Roman"/>
          <w:color w:val="222222"/>
          <w:sz w:val="24"/>
          <w:szCs w:val="24"/>
        </w:rPr>
        <w:t xml:space="preserve"> 2025;50:507-513. doi:10.1007/s10900-024-01437-3</w:t>
      </w:r>
    </w:p>
    <w:p w14:paraId="36A6102E" w14:textId="77777777" w:rsidR="009E28D7" w:rsidRDefault="009E28D7">
      <w:pPr>
        <w:rPr>
          <w:rFonts w:ascii="Times New Roman" w:eastAsia="Times New Roman" w:hAnsi="Times New Roman" w:cs="Times New Roman"/>
          <w:color w:val="1B1B1B"/>
          <w:sz w:val="20"/>
          <w:szCs w:val="20"/>
          <w:highlight w:val="white"/>
        </w:rPr>
      </w:pPr>
    </w:p>
    <w:sectPr w:rsidR="009E28D7">
      <w:pgSz w:w="12240" w:h="15840"/>
      <w:pgMar w:top="1440" w:right="1440" w:bottom="1440" w:left="1440" w:header="720" w:footer="720" w:gutter="0"/>
      <w:lnNumType w:countBy="1"/>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E5B8837-FBD4-4644-BE01-C7D04E395FB5}"/>
    <w:embedBold r:id="rId2" w:fontKey="{4C5E11F1-DE67-AD48-BF44-0DEFBA7EC204}"/>
    <w:embedItalic r:id="rId3" w:fontKey="{955270B1-2997-6249-BFD7-C01B15A140D8}"/>
    <w:embedBoldItalic r:id="rId4" w:fontKey="{4F37490D-A8B7-3648-860A-6CBB0A101D8F}"/>
  </w:font>
  <w:font w:name="Arial">
    <w:panose1 w:val="020B0604020202020204"/>
    <w:charset w:val="00"/>
    <w:family w:val="swiss"/>
    <w:pitch w:val="variable"/>
    <w:sig w:usb0="E0002AFF" w:usb1="C0007843" w:usb2="00000009" w:usb3="00000000" w:csb0="000001FF" w:csb1="00000000"/>
    <w:embedRegular r:id="rId5" w:fontKey="{931C1A8F-09EE-1142-A9B8-0D11892FF7E1}"/>
    <w:embedItalic r:id="rId6" w:fontKey="{E0547647-AF40-144B-82B8-212B5C312533}"/>
  </w:font>
  <w:font w:name="Calibri">
    <w:panose1 w:val="020F0502020204030204"/>
    <w:charset w:val="00"/>
    <w:family w:val="modern"/>
    <w:pitch w:val="variable"/>
    <w:sig w:usb0="00000003" w:usb1="00000000" w:usb2="00000000" w:usb3="00000000" w:csb0="00000001" w:csb1="00000000"/>
    <w:embedRegular r:id="rId7" w:fontKey="{03020445-BE66-D042-8BD3-EBDED918E87B}"/>
  </w:font>
  <w:font w:name="Cambria">
    <w:panose1 w:val="02040503050406030204"/>
    <w:charset w:val="00"/>
    <w:family w:val="roman"/>
    <w:notTrueType/>
    <w:pitch w:val="default"/>
    <w:embedRegular r:id="rId8" w:fontKey="{4B69C992-0C16-3D42-B9D2-D46D6F67F52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C6A52"/>
    <w:multiLevelType w:val="multilevel"/>
    <w:tmpl w:val="363ADE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50234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removePersonalInformation/>
  <w:removeDateAndTime/>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8D7"/>
    <w:rsid w:val="007D5DB8"/>
    <w:rsid w:val="009E28D7"/>
    <w:rsid w:val="00E17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05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LineNumber">
    <w:name w:val="line number"/>
    <w:basedOn w:val="DefaultParagraphFont"/>
    <w:uiPriority w:val="99"/>
    <w:semiHidden/>
    <w:unhideWhenUsed/>
    <w:rsid w:val="007D5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rsa.gov/about" TargetMode="External"/><Relationship Id="rId13" Type="http://schemas.openxmlformats.org/officeDocument/2006/relationships/hyperlink" Target="https://data.hrsa.gov/topics/health-workforce/shortage-areas/dashboard?tab=muapHeader" TargetMode="External"/><Relationship Id="rId18" Type="http://schemas.openxmlformats.org/officeDocument/2006/relationships/hyperlink" Target="https://data.hrsa.gov/topics/health-workforce/shortage-areas/by-address" TargetMode="External"/><Relationship Id="rId26" Type="http://schemas.openxmlformats.org/officeDocument/2006/relationships/hyperlink" Target="https://www.census.gov/newsroom/press-releases/2022/urban-rural-populations.html" TargetMode="External"/><Relationship Id="rId3" Type="http://schemas.openxmlformats.org/officeDocument/2006/relationships/settings" Target="settings.xml"/><Relationship Id="rId21" Type="http://schemas.openxmlformats.org/officeDocument/2006/relationships/hyperlink" Target="https://www.census.gov/data-tools/demo/sahie/" TargetMode="External"/><Relationship Id="rId7" Type="http://schemas.openxmlformats.org/officeDocument/2006/relationships/hyperlink" Target="https://bhw.hrsa.gov/workforce-shortage-areas/shortage-designation" TargetMode="External"/><Relationship Id="rId12" Type="http://schemas.openxmlformats.org/officeDocument/2006/relationships/hyperlink" Target="https://data.hrsa.gov/topics/health-workforce/shortage-areas/dashboard?tab=muapHeader" TargetMode="External"/><Relationship Id="rId17" Type="http://schemas.openxmlformats.org/officeDocument/2006/relationships/hyperlink" Target="https://data.hrsa.gov/topics/health-workforce/shortage-areas/by-address" TargetMode="External"/><Relationship Id="rId25" Type="http://schemas.openxmlformats.org/officeDocument/2006/relationships/hyperlink" Target="https://www.census.gov/newsroom/press-releases/2022/urban-rural-populations.html" TargetMode="External"/><Relationship Id="rId2" Type="http://schemas.openxmlformats.org/officeDocument/2006/relationships/styles" Target="styles.xml"/><Relationship Id="rId16" Type="http://schemas.openxmlformats.org/officeDocument/2006/relationships/hyperlink" Target="https://www.studentrunfreeclinics.org/" TargetMode="External"/><Relationship Id="rId20" Type="http://schemas.openxmlformats.org/officeDocument/2006/relationships/hyperlink" Target="https://www.unitedstateszipcodes.org/" TargetMode="External"/><Relationship Id="rId1" Type="http://schemas.openxmlformats.org/officeDocument/2006/relationships/numbering" Target="numbering.xml"/><Relationship Id="rId6" Type="http://schemas.openxmlformats.org/officeDocument/2006/relationships/hyperlink" Target="https://bhw.hrsa.gov/workforce-shortage-areas/shortage-designation" TargetMode="External"/><Relationship Id="rId11" Type="http://schemas.openxmlformats.org/officeDocument/2006/relationships/hyperlink" Target="https://hsrc.himmelfarb.gwu.edu/sphhs_centers_nhpf/225" TargetMode="External"/><Relationship Id="rId24" Type="http://schemas.openxmlformats.org/officeDocument/2006/relationships/hyperlink" Target="https://data.census.gov/" TargetMode="External"/><Relationship Id="rId5" Type="http://schemas.openxmlformats.org/officeDocument/2006/relationships/image" Target="media/image1.png"/><Relationship Id="rId15" Type="http://schemas.openxmlformats.org/officeDocument/2006/relationships/hyperlink" Target="https://research.columbia.edu/revised-common-rule" TargetMode="External"/><Relationship Id="rId23" Type="http://schemas.openxmlformats.org/officeDocument/2006/relationships/hyperlink" Target="https://data.census.gov/" TargetMode="External"/><Relationship Id="rId28" Type="http://schemas.openxmlformats.org/officeDocument/2006/relationships/theme" Target="theme/theme1.xml"/><Relationship Id="rId10" Type="http://schemas.openxmlformats.org/officeDocument/2006/relationships/hyperlink" Target="https://hsrc.himmelfarb.gwu.edu/sphhs_centers_nhpf/225" TargetMode="External"/><Relationship Id="rId19" Type="http://schemas.openxmlformats.org/officeDocument/2006/relationships/hyperlink" Target="https://www.unitedstateszipcodes.org/" TargetMode="External"/><Relationship Id="rId4" Type="http://schemas.openxmlformats.org/officeDocument/2006/relationships/webSettings" Target="webSettings.xml"/><Relationship Id="rId9" Type="http://schemas.openxmlformats.org/officeDocument/2006/relationships/hyperlink" Target="https://www.hrsa.gov/about" TargetMode="External"/><Relationship Id="rId14" Type="http://schemas.openxmlformats.org/officeDocument/2006/relationships/hyperlink" Target="https://research.columbia.edu/revised-common-rule" TargetMode="External"/><Relationship Id="rId22" Type="http://schemas.openxmlformats.org/officeDocument/2006/relationships/hyperlink" Target="https://www.census.gov/data-tools/demo/sahie/"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4034</Words>
  <Characters>22995</Characters>
  <Application>Microsoft Office Word</Application>
  <DocSecurity>0</DocSecurity>
  <Lines>191</Lines>
  <Paragraphs>53</Paragraphs>
  <ScaleCrop>false</ScaleCrop>
  <Company/>
  <LinksUpToDate>false</LinksUpToDate>
  <CharactersWithSpaces>26976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2026-05-05T16:30:00Z</dcterms:created>
  <dcterms:modified xsi:type="dcterms:W3CDTF">2026-05-05T16:30:00Z</dcterms:modified>
</cp:coreProperties>
</file>