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3624D" w14:textId="77777777" w:rsidR="00A5164D" w:rsidRDefault="00000000">
      <w:pPr>
        <w:spacing w:after="160" w:line="276" w:lineRule="auto"/>
        <w:jc w:val="center"/>
      </w:pPr>
      <w:r>
        <w:rPr>
          <w:b/>
          <w:bCs/>
        </w:rPr>
        <w:t>A Cross-Sectional Study on Geographic Alignment of Student-Run Free Clinics with County-Level Median Household Income Disparities</w:t>
      </w:r>
    </w:p>
    <w:p w14:paraId="5C7EC444" w14:textId="77777777" w:rsidR="00A5164D" w:rsidRDefault="00000000">
      <w:pPr>
        <w:spacing w:after="120" w:line="276" w:lineRule="auto"/>
        <w:jc w:val="both"/>
      </w:pPr>
      <w:r>
        <w:rPr>
          <w:b/>
          <w:bCs/>
        </w:rPr>
        <w:t xml:space="preserve">Background: </w:t>
      </w:r>
      <w:r>
        <w:t>Student-run free clinics (SRFCs) serve as a critical component of the United States healthcare safety net, providing primary care to uninsured and underinsured patients who might otherwise rely on emergency departments for routine medical needs. As of the last major published survey of Association of American Medical Colleges member institutions in 2014, at least 140,000 patients were seen annually across 208 SRFC sites, with at least 75% of accredited medical schools supporting at least one SRFC.</w:t>
      </w:r>
      <w:r>
        <w:rPr>
          <w:sz w:val="20"/>
          <w:szCs w:val="20"/>
          <w:vertAlign w:val="superscript"/>
        </w:rPr>
        <w:t>1</w:t>
      </w:r>
      <w:r>
        <w:t xml:space="preserve"> The populations served carry disproportionate burdens of chronic disease and socioeconomic disadvantage, including elevated rates of hypertension, diabetes, respiratory illness, and psychiatric disorders that exceed those of the general population.</w:t>
      </w:r>
      <w:r>
        <w:rPr>
          <w:sz w:val="20"/>
          <w:szCs w:val="20"/>
          <w:vertAlign w:val="superscript"/>
        </w:rPr>
        <w:t>2</w:t>
      </w:r>
      <w:r>
        <w:t xml:space="preserve"> Low-income individuals are less likely to hold health insurance, face higher rates of chronic disease, and experience greater difficulty accessing preventive care, with research consistently demonstrating that uninsured individuals delay or forgo necessary treatment.</w:t>
      </w:r>
      <w:r>
        <w:rPr>
          <w:sz w:val="20"/>
          <w:szCs w:val="20"/>
          <w:vertAlign w:val="superscript"/>
        </w:rPr>
        <w:t>3</w:t>
      </w:r>
      <w:r>
        <w:t xml:space="preserve"> Despite this, no national analysis has examined whether SRFC locations correspond to geographic markers of economic need. This study evaluates the relationship between median household income and SRFC placement at the county level to inform future resource development and outreach strategies.</w:t>
      </w:r>
    </w:p>
    <w:p w14:paraId="063C498F" w14:textId="77777777" w:rsidR="00A5164D" w:rsidRDefault="00000000">
      <w:pPr>
        <w:spacing w:after="120" w:line="276" w:lineRule="auto"/>
        <w:jc w:val="both"/>
      </w:pPr>
      <w:r>
        <w:rPr>
          <w:b/>
          <w:bCs/>
        </w:rPr>
        <w:t xml:space="preserve">Methods: </w:t>
      </w:r>
      <w:r>
        <w:t>This cross-sectional analysis evaluated publicly available datasets to assess the influence of median household income on populations served by SRFCs as listed by the Society of Student-Run Free Clinics. County-level demographic and insurance coverage data were obtained from the U.S. Census Bureau,</w:t>
      </w:r>
      <w:r>
        <w:rPr>
          <w:sz w:val="20"/>
          <w:szCs w:val="20"/>
          <w:vertAlign w:val="superscript"/>
        </w:rPr>
        <w:t>6</w:t>
      </w:r>
      <w:r>
        <w:t xml:space="preserve"> and median household income data were sourced from the County Health Rankings and Roadmaps database, established by the University of Wisconsin Population Health Institute with support from the Robert Wood Johnson Foundation.</w:t>
      </w:r>
      <w:r>
        <w:rPr>
          <w:sz w:val="20"/>
          <w:szCs w:val="20"/>
          <w:vertAlign w:val="superscript"/>
        </w:rPr>
        <w:t>7</w:t>
      </w:r>
      <w:r>
        <w:t xml:space="preserve"> Data were cross-referenced against the U.S. Census Bureau American Community Survey (ACS).</w:t>
      </w:r>
      <w:r>
        <w:rPr>
          <w:sz w:val="20"/>
          <w:szCs w:val="20"/>
          <w:vertAlign w:val="superscript"/>
        </w:rPr>
        <w:t>6</w:t>
      </w:r>
      <w:r>
        <w:t xml:space="preserve"> Statistical analysis included descriptive statistics and Spearman correlation coefficient. This study is IRB exempt as non-human research under 45 CFR 46.104(d)(3).</w:t>
      </w:r>
    </w:p>
    <w:p w14:paraId="51DEB928" w14:textId="77777777" w:rsidR="00A5164D" w:rsidRDefault="00000000">
      <w:pPr>
        <w:spacing w:after="120" w:line="276" w:lineRule="auto"/>
        <w:jc w:val="both"/>
      </w:pPr>
      <w:r>
        <w:rPr>
          <w:b/>
          <w:bCs/>
        </w:rPr>
        <w:t xml:space="preserve">Results: </w:t>
      </w:r>
      <w:r>
        <w:t xml:space="preserve">Among 193 SRFC sites analyzed, 15.0% </w:t>
      </w:r>
      <w:proofErr w:type="gramStart"/>
      <w:r>
        <w:t>were located in</w:t>
      </w:r>
      <w:proofErr w:type="gramEnd"/>
      <w:r>
        <w:t xml:space="preserve"> counties with median household income below the 2025 federal poverty guideline for a family of four, while 92.2% </w:t>
      </w:r>
      <w:proofErr w:type="gramStart"/>
      <w:r>
        <w:t>were located in</w:t>
      </w:r>
      <w:proofErr w:type="gramEnd"/>
      <w:r>
        <w:t xml:space="preserve"> counties below the U.S. median household income. Median household income demonstrated a statistically significant inverse correlation with county uninsured rate among SRFC locations (Spearman ρ = −0.17, p = 0.015).</w:t>
      </w:r>
    </w:p>
    <w:p w14:paraId="687214F0" w14:textId="77777777" w:rsidR="00A5164D" w:rsidRDefault="00000000">
      <w:pPr>
        <w:spacing w:before="80" w:after="80" w:line="276" w:lineRule="auto"/>
        <w:jc w:val="center"/>
      </w:pPr>
      <w:r>
        <w:rPr>
          <w:noProof/>
        </w:rPr>
        <w:lastRenderedPageBreak/>
        <w:drawing>
          <wp:inline distT="0" distB="0" distL="0" distR="0" wp14:anchorId="37973420" wp14:editId="3EB78BF0">
            <wp:extent cx="5943600" cy="3675125"/>
            <wp:effectExtent l="0" t="0" r="0" b="0"/>
            <wp:docPr id="1" name="Fig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1.png"/>
                    <pic:cNvPicPr/>
                  </pic:nvPicPr>
                  <pic:blipFill>
                    <a:blip r:embed="rId5"/>
                    <a:stretch>
                      <a:fillRect/>
                    </a:stretch>
                  </pic:blipFill>
                  <pic:spPr>
                    <a:xfrm>
                      <a:off x="0" y="0"/>
                      <a:ext cx="5943600" cy="3675125"/>
                    </a:xfrm>
                    <a:prstGeom prst="rect">
                      <a:avLst/>
                    </a:prstGeom>
                  </pic:spPr>
                </pic:pic>
              </a:graphicData>
            </a:graphic>
          </wp:inline>
        </w:drawing>
      </w:r>
    </w:p>
    <w:p w14:paraId="7B9A1A1E" w14:textId="77777777" w:rsidR="00A5164D" w:rsidRDefault="00000000">
      <w:pPr>
        <w:spacing w:after="120" w:line="276" w:lineRule="auto"/>
        <w:jc w:val="center"/>
      </w:pPr>
      <w:r>
        <w:rPr>
          <w:b/>
          <w:bCs/>
        </w:rPr>
        <w:t xml:space="preserve">Figure 1. </w:t>
      </w:r>
      <w:r>
        <w:t>Scatter plot of median household income versus county uninsured rate (percentile) across 193 SRFC locations. The trend line (slope = -805, intercept = 57,667; R² = 0.045) illustrates the inverse relationship confirmed by Spearman correlation (ρ = -0.17, p = 0.015).</w:t>
      </w:r>
    </w:p>
    <w:p w14:paraId="61E8F66B" w14:textId="77777777" w:rsidR="00A5164D" w:rsidRDefault="00000000">
      <w:pPr>
        <w:spacing w:after="200" w:line="276" w:lineRule="auto"/>
        <w:jc w:val="both"/>
      </w:pPr>
      <w:r>
        <w:rPr>
          <w:b/>
          <w:bCs/>
        </w:rPr>
        <w:t xml:space="preserve">Conclusion: </w:t>
      </w:r>
      <w:r>
        <w:t>The geographic distribution of SRFCs strongly favors economically disadvantaged communities, with the vast majority situated in counties earning below the national median household income. The significant inverse correlation between income and uninsured rate at SRFC locations aligns with well-established national data showing that lower income is consistently associated with higher rates of uninsurance and reduced healthcare access. Among adults ages 18 to 64, uninsured rates reached 26.9% in households below 100% of the federal poverty level, compared to 8.6% in households at or above 200% of the federal poverty level, underscoring the pronounced burden borne by low-income communities.</w:t>
      </w:r>
      <w:r>
        <w:rPr>
          <w:sz w:val="20"/>
          <w:szCs w:val="20"/>
          <w:vertAlign w:val="superscript"/>
        </w:rPr>
        <w:t>4</w:t>
      </w:r>
      <w:r>
        <w:t xml:space="preserve"> These findings affirm that SRFCs are meaningfully reaching the populations that need them most. To more effectively address income as a social driver of health, SRFCs should consider integrating financial navigation services and benefits enrollment assistance into their care models, pursuing partnerships with local social service agencies, and expanding targeted outreach in the lowest-income catchment areas within their counties. Parihar et al. demonstrated that even a single SRFC can generate substantial community-level financial value by assigning Current Procedural Terminology codes and Work Relative Value Units to 1,475 medical visits, illustrating the measurable return on investment that strategic SRFC placement in low-income areas represents.</w:t>
      </w:r>
      <w:r>
        <w:rPr>
          <w:sz w:val="20"/>
          <w:szCs w:val="20"/>
          <w:vertAlign w:val="superscript"/>
        </w:rPr>
        <w:t>5</w:t>
      </w:r>
      <w:r>
        <w:t xml:space="preserve"> Standardized collection of patient income data across SRFC sites would further strengthen the evidence base for resource allocation and advocacy.</w:t>
      </w:r>
    </w:p>
    <w:p w14:paraId="41425AEF" w14:textId="77777777" w:rsidR="00A5164D" w:rsidRDefault="00000000">
      <w:pPr>
        <w:spacing w:after="80" w:line="276" w:lineRule="auto"/>
      </w:pPr>
      <w:r>
        <w:rPr>
          <w:b/>
          <w:bCs/>
        </w:rPr>
        <w:lastRenderedPageBreak/>
        <w:t>References</w:t>
      </w:r>
    </w:p>
    <w:p w14:paraId="29A76A87" w14:textId="77777777" w:rsidR="00A5164D" w:rsidRDefault="00000000">
      <w:pPr>
        <w:spacing w:after="60" w:line="276" w:lineRule="auto"/>
      </w:pPr>
      <w:r>
        <w:t xml:space="preserve">1. Smith S, Thomas R, Cruz M, Griggs R, Moscato B, Ferrara A. Presence and characteristics of student-run free clinics in medical schools. </w:t>
      </w:r>
      <w:r>
        <w:rPr>
          <w:i/>
          <w:iCs/>
        </w:rPr>
        <w:t>JAMA.</w:t>
      </w:r>
      <w:r>
        <w:t xml:space="preserve"> 2014;312(22):2407–2410. doi:10.1001/jama.2014.16066</w:t>
      </w:r>
    </w:p>
    <w:p w14:paraId="16AE7F82" w14:textId="77777777" w:rsidR="00A5164D" w:rsidRDefault="00000000">
      <w:pPr>
        <w:spacing w:after="60" w:line="276" w:lineRule="auto"/>
      </w:pPr>
      <w:r>
        <w:t xml:space="preserve">2. Pribish A, Khalil N, Mhaskar R, Woodard L, Mirza AS. Chronic disease burden of the homeless: a descriptive study of student-run free clinics in Tampa, Florida. </w:t>
      </w:r>
      <w:r>
        <w:rPr>
          <w:i/>
          <w:iCs/>
        </w:rPr>
        <w:t>J Community Health.</w:t>
      </w:r>
      <w:r>
        <w:t xml:space="preserve"> 2019;44(2):249–255. doi:10.1007/s10900-018-0580-3</w:t>
      </w:r>
    </w:p>
    <w:p w14:paraId="3F5E5620" w14:textId="77777777" w:rsidR="00A5164D" w:rsidRDefault="00000000">
      <w:pPr>
        <w:spacing w:after="60" w:line="276" w:lineRule="auto"/>
      </w:pPr>
      <w:r>
        <w:t xml:space="preserve">3. </w:t>
      </w:r>
      <w:proofErr w:type="spellStart"/>
      <w:r>
        <w:t>Enyew</w:t>
      </w:r>
      <w:proofErr w:type="spellEnd"/>
      <w:r>
        <w:t xml:space="preserve"> DB, </w:t>
      </w:r>
      <w:proofErr w:type="spellStart"/>
      <w:r>
        <w:t>Dagnaw</w:t>
      </w:r>
      <w:proofErr w:type="spellEnd"/>
      <w:r>
        <w:t xml:space="preserve"> FT, Tesema AK. Social determinants of health: examining poverty, housing, and education in widening U.S. healthcare access disparities. </w:t>
      </w:r>
      <w:r>
        <w:rPr>
          <w:i/>
          <w:iCs/>
        </w:rPr>
        <w:t>World J Adv Res Rev.</w:t>
      </w:r>
      <w:r>
        <w:t xml:space="preserve"> 2023;20(1):1370–1389. doi:10.30574/wjarr.2023.20.1.2018</w:t>
      </w:r>
    </w:p>
    <w:p w14:paraId="211AD06F" w14:textId="77777777" w:rsidR="00A5164D" w:rsidRDefault="00000000">
      <w:pPr>
        <w:spacing w:after="60" w:line="276" w:lineRule="auto"/>
      </w:pPr>
      <w:r>
        <w:t xml:space="preserve">4. Agency for Healthcare Research and Quality. Access to healthcare and disparities in access. In: </w:t>
      </w:r>
      <w:r>
        <w:rPr>
          <w:i/>
          <w:iCs/>
        </w:rPr>
        <w:t>2021 National Healthcare Quality and Disparities Report.</w:t>
      </w:r>
      <w:r>
        <w:t xml:space="preserve"> Rockville, MD: AHRQ; 2022. Available from: https://www.ncbi.nlm.nih.gov/books/NBK578537/</w:t>
      </w:r>
    </w:p>
    <w:p w14:paraId="1CBAFEC1" w14:textId="77777777" w:rsidR="00A5164D" w:rsidRDefault="00000000">
      <w:pPr>
        <w:spacing w:after="60" w:line="276" w:lineRule="auto"/>
      </w:pPr>
      <w:r>
        <w:t xml:space="preserve">5. Parihar A, Devanathan N, Sepulveda MN, Sevilla-Martir JF. Financial impact of the Indiana University student-run free clinic. </w:t>
      </w:r>
      <w:r>
        <w:rPr>
          <w:i/>
          <w:iCs/>
        </w:rPr>
        <w:t>J Community Health.</w:t>
      </w:r>
      <w:r>
        <w:t xml:space="preserve"> 2023;48(5):878–881. doi:10.1007/s10900-023-01234-4</w:t>
      </w:r>
    </w:p>
    <w:p w14:paraId="4CCBF014" w14:textId="77777777" w:rsidR="00A5164D" w:rsidRDefault="00000000">
      <w:pPr>
        <w:spacing w:after="60" w:line="276" w:lineRule="auto"/>
      </w:pPr>
      <w:r>
        <w:t>6. U.S. Census Bureau. American Community Survey 5-Year Estimates, Table B19013: Median Household Income in the Past 12 Months. Washington, DC: U.S. Census Bureau; 2023. Available from: https://www.census.gov/programs-surveys/acs</w:t>
      </w:r>
    </w:p>
    <w:p w14:paraId="46C6116C" w14:textId="77777777" w:rsidR="00A5164D" w:rsidRDefault="00000000">
      <w:pPr>
        <w:spacing w:line="276" w:lineRule="auto"/>
      </w:pPr>
      <w:r>
        <w:t>7. University of Wisconsin Population Health Institute. County Health Rankings &amp; Roadmaps 2025. Madison, WI: University of Wisconsin Population Health Institute; 2025. Available from: https://www.countyhealthrankings.org</w:t>
      </w:r>
    </w:p>
    <w:sectPr w:rsidR="00A5164D">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05B32"/>
    <w:multiLevelType w:val="hybridMultilevel"/>
    <w:tmpl w:val="8BD63706"/>
    <w:lvl w:ilvl="0" w:tplc="60FC1DC8">
      <w:start w:val="1"/>
      <w:numFmt w:val="bullet"/>
      <w:lvlText w:val="●"/>
      <w:lvlJc w:val="left"/>
      <w:pPr>
        <w:ind w:left="720" w:hanging="360"/>
      </w:pPr>
    </w:lvl>
    <w:lvl w:ilvl="1" w:tplc="C4708CBA">
      <w:start w:val="1"/>
      <w:numFmt w:val="bullet"/>
      <w:lvlText w:val="○"/>
      <w:lvlJc w:val="left"/>
      <w:pPr>
        <w:ind w:left="1440" w:hanging="360"/>
      </w:pPr>
    </w:lvl>
    <w:lvl w:ilvl="2" w:tplc="4BC08212">
      <w:start w:val="1"/>
      <w:numFmt w:val="bullet"/>
      <w:lvlText w:val="■"/>
      <w:lvlJc w:val="left"/>
      <w:pPr>
        <w:ind w:left="2160" w:hanging="360"/>
      </w:pPr>
    </w:lvl>
    <w:lvl w:ilvl="3" w:tplc="686EA996">
      <w:start w:val="1"/>
      <w:numFmt w:val="bullet"/>
      <w:lvlText w:val="●"/>
      <w:lvlJc w:val="left"/>
      <w:pPr>
        <w:ind w:left="2880" w:hanging="360"/>
      </w:pPr>
    </w:lvl>
    <w:lvl w:ilvl="4" w:tplc="90883D42">
      <w:start w:val="1"/>
      <w:numFmt w:val="bullet"/>
      <w:lvlText w:val="○"/>
      <w:lvlJc w:val="left"/>
      <w:pPr>
        <w:ind w:left="3600" w:hanging="360"/>
      </w:pPr>
    </w:lvl>
    <w:lvl w:ilvl="5" w:tplc="6D003A22">
      <w:start w:val="1"/>
      <w:numFmt w:val="bullet"/>
      <w:lvlText w:val="■"/>
      <w:lvlJc w:val="left"/>
      <w:pPr>
        <w:ind w:left="4320" w:hanging="360"/>
      </w:pPr>
    </w:lvl>
    <w:lvl w:ilvl="6" w:tplc="7E5036F0">
      <w:start w:val="1"/>
      <w:numFmt w:val="bullet"/>
      <w:lvlText w:val="●"/>
      <w:lvlJc w:val="left"/>
      <w:pPr>
        <w:ind w:left="5040" w:hanging="360"/>
      </w:pPr>
    </w:lvl>
    <w:lvl w:ilvl="7" w:tplc="1F382C72">
      <w:start w:val="1"/>
      <w:numFmt w:val="bullet"/>
      <w:lvlText w:val="●"/>
      <w:lvlJc w:val="left"/>
      <w:pPr>
        <w:ind w:left="5760" w:hanging="360"/>
      </w:pPr>
    </w:lvl>
    <w:lvl w:ilvl="8" w:tplc="882EEDB6">
      <w:start w:val="1"/>
      <w:numFmt w:val="bullet"/>
      <w:lvlText w:val="●"/>
      <w:lvlJc w:val="left"/>
      <w:pPr>
        <w:ind w:left="6480" w:hanging="360"/>
      </w:pPr>
    </w:lvl>
  </w:abstractNum>
  <w:num w:numId="1" w16cid:durableId="163401543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64D"/>
    <w:rsid w:val="00076E81"/>
    <w:rsid w:val="00A5164D"/>
    <w:rsid w:val="00E53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9962D08"/>
  <w15:docId w15:val="{EF2F6BAA-DE8C-2643-AB21-F71E8DB15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913</Words>
  <Characters>5209</Characters>
  <Application>Microsoft Office Word</Application>
  <DocSecurity>0</DocSecurity>
  <Lines>43</Lines>
  <Paragraphs>12</Paragraphs>
  <ScaleCrop>false</ScaleCrop>
  <Company/>
  <LinksUpToDate>false</LinksUpToDate>
  <CharactersWithSpaces>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Zaid Umar</cp:lastModifiedBy>
  <cp:revision>2</cp:revision>
  <dcterms:created xsi:type="dcterms:W3CDTF">2026-05-27T03:35:00Z</dcterms:created>
  <dcterms:modified xsi:type="dcterms:W3CDTF">2026-05-27T03:35:00Z</dcterms:modified>
</cp:coreProperties>
</file>